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6E2" w:rsidRDefault="00B756E2" w:rsidP="00296727">
      <w:pPr>
        <w:pStyle w:val="Cm"/>
        <w:jc w:val="center"/>
      </w:pPr>
      <w:r>
        <w:t xml:space="preserve">Segédlet az önkormányzatok </w:t>
      </w:r>
      <w:r w:rsidR="00E23812">
        <w:t>igazgatásszervezési</w:t>
      </w:r>
      <w:r w:rsidR="00E23812">
        <w:t xml:space="preserve"> </w:t>
      </w:r>
      <w:r>
        <w:t>feltételeinek megteremtéséhez</w:t>
      </w:r>
    </w:p>
    <w:p w:rsidR="00E23812" w:rsidRDefault="00E23812" w:rsidP="00A136F6"/>
    <w:p w:rsidR="00A136F6" w:rsidRPr="00A136F6" w:rsidRDefault="00A136F6" w:rsidP="00A136F6">
      <w:r w:rsidRPr="00A136F6">
        <w:t>Az önkormányzati ASP rendszer bevezetése az önkormányzat ügyviteli folyamatainak jelentős részét támogatja informatikailag, így az önkormányzatok számára biztosítani a szakrendszerek által érintett ügyviteli és elektronikus ügyintézéssel kapcsolatos folyamatok bemutatását annak érdekében, hogy saját folyamataikat szükség szerint igazíthassák.</w:t>
      </w:r>
    </w:p>
    <w:p w:rsidR="00A136F6" w:rsidRDefault="00A136F6" w:rsidP="00A136F6">
      <w:r w:rsidRPr="00A136F6">
        <w:t>Jelen javaslatban összegezzük azokat a szervezeti és ügyviteli változásokat, amelyeket az ASP központhoz való csatlakozás szükségessé tesz. Az alábbi megoldás nem tekinthető általános érvényűnek, hiszen az önkormányzatok szervezete és ügyviteli folyamatai eltérnek egymástól.</w:t>
      </w:r>
    </w:p>
    <w:p w:rsidR="00A136F6" w:rsidRDefault="00A136F6" w:rsidP="00A136F6">
      <w:pPr>
        <w:pStyle w:val="Cmsor1"/>
      </w:pPr>
      <w:r>
        <w:t>Szervezeti- ügyviteli teendők</w:t>
      </w:r>
    </w:p>
    <w:p w:rsidR="00A136F6" w:rsidRDefault="00A136F6" w:rsidP="00A136F6"/>
    <w:tbl>
      <w:tblPr>
        <w:tblStyle w:val="Rcsostblzat"/>
        <w:tblW w:w="5000" w:type="pct"/>
        <w:tblLayout w:type="fixed"/>
        <w:tblLook w:val="04A0" w:firstRow="1" w:lastRow="0" w:firstColumn="1" w:lastColumn="0" w:noHBand="0" w:noVBand="1"/>
      </w:tblPr>
      <w:tblGrid>
        <w:gridCol w:w="4369"/>
        <w:gridCol w:w="3272"/>
        <w:gridCol w:w="6353"/>
      </w:tblGrid>
      <w:tr w:rsidR="00A136F6" w:rsidRPr="001B6FB3" w:rsidTr="00296727">
        <w:trPr>
          <w:cantSplit/>
          <w:tblHeader/>
        </w:trPr>
        <w:tc>
          <w:tcPr>
            <w:tcW w:w="1561" w:type="pct"/>
            <w:shd w:val="clear" w:color="auto" w:fill="4F81BD" w:themeFill="accent1"/>
            <w:vAlign w:val="center"/>
          </w:tcPr>
          <w:p w:rsidR="00A136F6" w:rsidRPr="001B6FB3" w:rsidRDefault="00A136F6" w:rsidP="00296727">
            <w:pPr>
              <w:spacing w:before="120"/>
              <w:jc w:val="lef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Változás</w:t>
            </w:r>
          </w:p>
        </w:tc>
        <w:tc>
          <w:tcPr>
            <w:tcW w:w="1169" w:type="pct"/>
            <w:shd w:val="clear" w:color="auto" w:fill="4F81BD" w:themeFill="accent1"/>
            <w:vAlign w:val="center"/>
          </w:tcPr>
          <w:p w:rsidR="00A136F6" w:rsidRPr="00A136F6" w:rsidRDefault="00A136F6" w:rsidP="00296727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A136F6">
              <w:rPr>
                <w:b/>
                <w:color w:val="FFFFFF" w:themeColor="background1"/>
              </w:rPr>
              <w:t>Érintett szervezeti egységek</w:t>
            </w:r>
          </w:p>
        </w:tc>
        <w:tc>
          <w:tcPr>
            <w:tcW w:w="2270" w:type="pct"/>
            <w:shd w:val="clear" w:color="auto" w:fill="4F81BD" w:themeFill="accent1"/>
            <w:vAlign w:val="center"/>
          </w:tcPr>
          <w:p w:rsidR="00A136F6" w:rsidRPr="00296727" w:rsidRDefault="00A136F6" w:rsidP="00296727">
            <w:pPr>
              <w:pStyle w:val="Listaszerbekezds"/>
              <w:numPr>
                <w:ilvl w:val="0"/>
                <w:numId w:val="27"/>
              </w:numPr>
              <w:spacing w:before="120"/>
              <w:ind w:left="609"/>
              <w:jc w:val="left"/>
              <w:rPr>
                <w:b/>
                <w:color w:val="FFFFFF" w:themeColor="background1"/>
              </w:rPr>
            </w:pPr>
            <w:r w:rsidRPr="00296727">
              <w:rPr>
                <w:b/>
                <w:color w:val="FFFFFF" w:themeColor="background1"/>
              </w:rPr>
              <w:t>Teendők</w:t>
            </w:r>
          </w:p>
        </w:tc>
      </w:tr>
      <w:tr w:rsidR="00A136F6" w:rsidRPr="009D2921" w:rsidTr="00296727">
        <w:trPr>
          <w:cantSplit/>
        </w:trPr>
        <w:tc>
          <w:tcPr>
            <w:tcW w:w="1561" w:type="pct"/>
            <w:vAlign w:val="center"/>
          </w:tcPr>
          <w:p w:rsidR="00A136F6" w:rsidRDefault="00A136F6" w:rsidP="00296727">
            <w:pPr>
              <w:pStyle w:val="Tablazat2"/>
              <w:spacing w:before="120" w:after="120"/>
            </w:pPr>
            <w:r>
              <w:t>Az elektronikus dokumentumok fogadásának beépítése az iratkezelés folyamatába.</w:t>
            </w:r>
          </w:p>
        </w:tc>
        <w:tc>
          <w:tcPr>
            <w:tcW w:w="1169" w:type="pct"/>
            <w:vAlign w:val="center"/>
          </w:tcPr>
          <w:p w:rsidR="00A136F6" w:rsidRPr="00133CC4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Iratkezelés</w:t>
            </w:r>
          </w:p>
          <w:p w:rsidR="00A136F6" w:rsidRPr="00133CC4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Ipar- és kereskedelmi igazgatás</w:t>
            </w:r>
          </w:p>
          <w:p w:rsidR="00A136F6" w:rsidRPr="00660F39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Adó</w:t>
            </w:r>
          </w:p>
          <w:p w:rsidR="00A136F6" w:rsidRPr="0039636F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Pénzügy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Informatika</w:t>
            </w:r>
          </w:p>
        </w:tc>
        <w:tc>
          <w:tcPr>
            <w:tcW w:w="2270" w:type="pct"/>
            <w:vAlign w:val="center"/>
          </w:tcPr>
          <w:p w:rsidR="00A136F6" w:rsidRPr="0002738B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</w:pPr>
            <w:r>
              <w:rPr>
                <w:i w:val="0"/>
              </w:rPr>
              <w:t>Az e-ügyintézésről szóló helyi rendelet megalkotása</w:t>
            </w:r>
          </w:p>
          <w:p w:rsidR="00A136F6" w:rsidRPr="00660F39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</w:pPr>
            <w:r>
              <w:rPr>
                <w:i w:val="0"/>
              </w:rPr>
              <w:t>Az elektronikus iratok fogadásának beépítése az iratkezelési szabályzatba</w:t>
            </w:r>
          </w:p>
          <w:p w:rsidR="00A136F6" w:rsidRPr="0049354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</w:pPr>
            <w:r>
              <w:rPr>
                <w:i w:val="0"/>
              </w:rPr>
              <w:t>Érkeztetési és felbontási munkafolyamatok eljárásrendje</w:t>
            </w:r>
          </w:p>
          <w:p w:rsidR="00A136F6" w:rsidRPr="00660F39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</w:pPr>
            <w:r>
              <w:rPr>
                <w:i w:val="0"/>
              </w:rPr>
              <w:t>Email érkeztetés szabályai</w:t>
            </w:r>
          </w:p>
          <w:p w:rsidR="00A136F6" w:rsidRPr="009D2921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</w:pPr>
            <w:r>
              <w:rPr>
                <w:i w:val="0"/>
              </w:rPr>
              <w:t>Szükség szerint lapolvasó (szkenner), vonalkód leolvasó beszerzése</w:t>
            </w:r>
          </w:p>
        </w:tc>
      </w:tr>
      <w:tr w:rsidR="00A136F6" w:rsidRPr="009D2921" w:rsidTr="00296727">
        <w:trPr>
          <w:cantSplit/>
        </w:trPr>
        <w:tc>
          <w:tcPr>
            <w:tcW w:w="1561" w:type="pct"/>
            <w:vAlign w:val="center"/>
          </w:tcPr>
          <w:p w:rsidR="00A136F6" w:rsidRDefault="00A136F6" w:rsidP="00296727">
            <w:pPr>
              <w:pStyle w:val="Tablazat2"/>
              <w:spacing w:before="120" w:after="120"/>
            </w:pPr>
            <w:r>
              <w:t>Az elektronikus kiadmányozás beépítése az iratkezelés folyamatába.</w:t>
            </w:r>
          </w:p>
        </w:tc>
        <w:tc>
          <w:tcPr>
            <w:tcW w:w="1169" w:type="pct"/>
            <w:vAlign w:val="center"/>
          </w:tcPr>
          <w:p w:rsidR="00A136F6" w:rsidRPr="00133CC4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Iratkezelés</w:t>
            </w:r>
          </w:p>
          <w:p w:rsidR="00A136F6" w:rsidRPr="00133CC4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Ipar- és kereskedelmi igazgatás</w:t>
            </w:r>
          </w:p>
          <w:p w:rsidR="00A136F6" w:rsidRPr="00CA33BE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Adó</w:t>
            </w:r>
          </w:p>
          <w:p w:rsidR="00A136F6" w:rsidRPr="00CA33BE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Pénzügy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Informatika</w:t>
            </w:r>
          </w:p>
        </w:tc>
        <w:tc>
          <w:tcPr>
            <w:tcW w:w="2270" w:type="pct"/>
            <w:vAlign w:val="center"/>
          </w:tcPr>
          <w:p w:rsidR="00A136F6" w:rsidRPr="004C1753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</w:pPr>
            <w:r>
              <w:rPr>
                <w:i w:val="0"/>
              </w:rPr>
              <w:t xml:space="preserve">Az </w:t>
            </w:r>
            <w:r w:rsidR="00296727">
              <w:rPr>
                <w:i w:val="0"/>
              </w:rPr>
              <w:t>elektronikus kiadmányozás</w:t>
            </w:r>
            <w:r>
              <w:rPr>
                <w:i w:val="0"/>
              </w:rPr>
              <w:t xml:space="preserve"> eljárásrendjének beépítése az iratkezelési szabályzatba</w:t>
            </w:r>
          </w:p>
          <w:p w:rsidR="00A136F6" w:rsidRPr="009D2921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</w:pPr>
            <w:r>
              <w:rPr>
                <w:i w:val="0"/>
              </w:rPr>
              <w:t>A kiadmányozásra jogosult munkatársak ellátása közigazgatási használatra alkalmas BALE eszközzel.</w:t>
            </w:r>
          </w:p>
        </w:tc>
      </w:tr>
      <w:tr w:rsidR="00A136F6" w:rsidRPr="009D2921" w:rsidTr="00296727">
        <w:trPr>
          <w:cantSplit/>
        </w:trPr>
        <w:tc>
          <w:tcPr>
            <w:tcW w:w="1561" w:type="pct"/>
            <w:vAlign w:val="center"/>
          </w:tcPr>
          <w:p w:rsidR="00A136F6" w:rsidRDefault="00A136F6" w:rsidP="00296727">
            <w:pPr>
              <w:pStyle w:val="Tablazat2"/>
              <w:spacing w:before="120" w:after="120"/>
            </w:pPr>
            <w:r>
              <w:t>Az alkalmazásszolgáltatás keretében igénybe vett szoftverkörnyezet üzemeltetését segítő kulcsfelhasználói feladatkör létrehozása</w:t>
            </w:r>
          </w:p>
        </w:tc>
        <w:tc>
          <w:tcPr>
            <w:tcW w:w="1169" w:type="pct"/>
            <w:vAlign w:val="center"/>
          </w:tcPr>
          <w:p w:rsidR="00A136F6" w:rsidRPr="00133CC4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Iktató</w:t>
            </w:r>
          </w:p>
          <w:p w:rsidR="00A136F6" w:rsidRPr="00133CC4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Ipar- és kereskedelmi igazgatás</w:t>
            </w:r>
          </w:p>
          <w:p w:rsidR="00A136F6" w:rsidRPr="00974DBD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Adó</w:t>
            </w:r>
          </w:p>
          <w:p w:rsidR="00A136F6" w:rsidRPr="001B7793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Vagyongazdálkodás</w:t>
            </w:r>
          </w:p>
          <w:p w:rsidR="00A136F6" w:rsidRPr="001B7793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Műszaki tevékenységekért felelős szervezeti egység</w:t>
            </w:r>
          </w:p>
          <w:p w:rsidR="00A136F6" w:rsidRPr="00974DBD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Pénzügy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Az internetes kommunikációért felelős szervezeti egység</w:t>
            </w:r>
          </w:p>
        </w:tc>
        <w:tc>
          <w:tcPr>
            <w:tcW w:w="2270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A kulcsfelhasználói feladatok beépítése a munkaköri leírásokba:</w:t>
            </w:r>
          </w:p>
          <w:p w:rsidR="00A136F6" w:rsidRPr="00732358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 w:rsidRPr="00732358">
              <w:rPr>
                <w:i w:val="0"/>
              </w:rPr>
              <w:t>Az egyes szakrendszerek kulcsfelhasználói:</w:t>
            </w:r>
          </w:p>
          <w:p w:rsidR="00A136F6" w:rsidRPr="00732358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A s</w:t>
            </w:r>
            <w:r w:rsidRPr="00732358">
              <w:rPr>
                <w:i w:val="0"/>
              </w:rPr>
              <w:t xml:space="preserve">zakrendszerek eseti és rendszeres </w:t>
            </w:r>
            <w:r>
              <w:rPr>
                <w:i w:val="0"/>
              </w:rPr>
              <w:t>paraméterezése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A hivatali munkatársak segítése</w:t>
            </w:r>
            <w:r w:rsidRPr="00732358">
              <w:rPr>
                <w:i w:val="0"/>
              </w:rPr>
              <w:t xml:space="preserve"> </w:t>
            </w:r>
            <w:r>
              <w:rPr>
                <w:i w:val="0"/>
              </w:rPr>
              <w:t>a szakrendszer használatában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Hiba jelzése</w:t>
            </w:r>
            <w:r w:rsidRPr="00732358">
              <w:rPr>
                <w:i w:val="0"/>
              </w:rPr>
              <w:t xml:space="preserve"> az ASP központ munkatársainak. </w:t>
            </w:r>
          </w:p>
          <w:p w:rsidR="00A136F6" w:rsidRPr="00732358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 w:rsidRPr="00732358">
              <w:rPr>
                <w:i w:val="0"/>
              </w:rPr>
              <w:t>Az esetleges továbbfejlesztési és a</w:t>
            </w:r>
            <w:r>
              <w:rPr>
                <w:i w:val="0"/>
              </w:rPr>
              <w:t xml:space="preserve"> rendszeres karbantartási </w:t>
            </w:r>
            <w:r w:rsidRPr="00732358">
              <w:rPr>
                <w:i w:val="0"/>
              </w:rPr>
              <w:t>ehetőségeiket meghaladó módosítási igényeket jelzik az ASP központ munkatársainak</w:t>
            </w:r>
          </w:p>
        </w:tc>
      </w:tr>
      <w:tr w:rsidR="00A136F6" w:rsidRPr="009D2921" w:rsidTr="00296727">
        <w:trPr>
          <w:cantSplit/>
        </w:trPr>
        <w:tc>
          <w:tcPr>
            <w:tcW w:w="1561" w:type="pct"/>
            <w:vAlign w:val="center"/>
          </w:tcPr>
          <w:p w:rsidR="00A136F6" w:rsidRDefault="00A136F6" w:rsidP="00296727">
            <w:pPr>
              <w:pStyle w:val="Tablazat2"/>
              <w:spacing w:before="120" w:after="120"/>
            </w:pPr>
            <w:r>
              <w:t>Az alkalmazásszolgáltatás keretében igénybe vett szoftverkörnyezet üzemeltetését segítő technikai kapcsolattartói feladatkör létrehozása</w:t>
            </w:r>
          </w:p>
        </w:tc>
        <w:tc>
          <w:tcPr>
            <w:tcW w:w="1169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Az informatikáért felelős szervezeti egység</w:t>
            </w:r>
          </w:p>
        </w:tc>
        <w:tc>
          <w:tcPr>
            <w:tcW w:w="2270" w:type="pct"/>
            <w:vAlign w:val="center"/>
          </w:tcPr>
          <w:p w:rsidR="00A136F6" w:rsidRPr="00323F0A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 w:rsidRPr="00323F0A">
              <w:rPr>
                <w:i w:val="0"/>
              </w:rPr>
              <w:t xml:space="preserve">A </w:t>
            </w:r>
            <w:r>
              <w:rPr>
                <w:i w:val="0"/>
              </w:rPr>
              <w:t>technikai kapcsolattartói</w:t>
            </w:r>
            <w:r w:rsidRPr="00323F0A">
              <w:rPr>
                <w:i w:val="0"/>
              </w:rPr>
              <w:t xml:space="preserve"> feladatok beépítése a munkaköri leírásokba</w:t>
            </w:r>
            <w:r>
              <w:rPr>
                <w:i w:val="0"/>
              </w:rPr>
              <w:t>:</w:t>
            </w:r>
          </w:p>
          <w:p w:rsidR="00A136F6" w:rsidRPr="00323F0A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 w:rsidRPr="00323F0A">
              <w:rPr>
                <w:i w:val="0"/>
              </w:rPr>
              <w:t>hibák bejelentésére az ASP központ felé</w:t>
            </w:r>
          </w:p>
          <w:p w:rsidR="00A136F6" w:rsidRPr="00323F0A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 w:rsidRPr="00323F0A">
              <w:rPr>
                <w:i w:val="0"/>
              </w:rPr>
              <w:t>az ASP rendszer felhasználói működtetéséhez szükséges hivatali hardver és szoftver környezet biztosítása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</w:pPr>
            <w:r w:rsidRPr="00323F0A">
              <w:rPr>
                <w:i w:val="0"/>
              </w:rPr>
              <w:t>Technikai hibák feltárása és elhárítása</w:t>
            </w:r>
          </w:p>
        </w:tc>
      </w:tr>
      <w:tr w:rsidR="00A136F6" w:rsidRPr="009D2921" w:rsidTr="00296727">
        <w:trPr>
          <w:cantSplit/>
        </w:trPr>
        <w:tc>
          <w:tcPr>
            <w:tcW w:w="1561" w:type="pct"/>
            <w:vAlign w:val="center"/>
          </w:tcPr>
          <w:p w:rsidR="00A136F6" w:rsidRDefault="00A136F6" w:rsidP="00296727">
            <w:pPr>
              <w:pStyle w:val="Tablazat2"/>
              <w:spacing w:before="120" w:after="120"/>
            </w:pPr>
            <w:r w:rsidRPr="0038416A">
              <w:t>Az interneten megjelenítendő kötelező információszolgáltatás karban</w:t>
            </w:r>
            <w:r>
              <w:t>tartásával kapcsolatos feladatkör létrehozása</w:t>
            </w:r>
          </w:p>
        </w:tc>
        <w:tc>
          <w:tcPr>
            <w:tcW w:w="1169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  <w:rPr>
                <w:i w:val="0"/>
              </w:rPr>
            </w:pPr>
            <w:r>
              <w:rPr>
                <w:i w:val="0"/>
              </w:rPr>
              <w:t>Informatika</w:t>
            </w:r>
          </w:p>
          <w:p w:rsidR="00A136F6" w:rsidRPr="0077052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  <w:rPr>
                <w:i w:val="0"/>
              </w:rPr>
            </w:pPr>
            <w:r w:rsidRPr="00770526">
              <w:rPr>
                <w:i w:val="0"/>
              </w:rPr>
              <w:t>Jegyző/polgármesteri kabinet</w:t>
            </w:r>
          </w:p>
        </w:tc>
        <w:tc>
          <w:tcPr>
            <w:tcW w:w="2270" w:type="pct"/>
            <w:vAlign w:val="center"/>
          </w:tcPr>
          <w:p w:rsidR="00A136F6" w:rsidRPr="00323F0A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 w:rsidRPr="00323F0A">
              <w:rPr>
                <w:i w:val="0"/>
              </w:rPr>
              <w:t xml:space="preserve">A </w:t>
            </w:r>
            <w:r>
              <w:rPr>
                <w:i w:val="0"/>
              </w:rPr>
              <w:t>technikai kapcsolattartói</w:t>
            </w:r>
            <w:r w:rsidRPr="00323F0A">
              <w:rPr>
                <w:i w:val="0"/>
              </w:rPr>
              <w:t xml:space="preserve"> feladatok beépítése a munkaköri leírásokba</w:t>
            </w:r>
            <w:r>
              <w:rPr>
                <w:i w:val="0"/>
              </w:rPr>
              <w:t xml:space="preserve">: </w:t>
            </w:r>
          </w:p>
          <w:p w:rsidR="00A136F6" w:rsidRPr="00621695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 w:rsidRPr="00621695">
              <w:rPr>
                <w:i w:val="0"/>
              </w:rPr>
              <w:t>A kötelezően közzéteendő információk portálon való publikációja</w:t>
            </w:r>
          </w:p>
          <w:p w:rsidR="00A136F6" w:rsidRPr="00621695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 w:rsidRPr="00621695">
              <w:rPr>
                <w:i w:val="0"/>
              </w:rPr>
              <w:t>A közzétett információk elérhetőségének és helyességének ellenőrzése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</w:pPr>
            <w:r w:rsidRPr="00621695">
              <w:rPr>
                <w:i w:val="0"/>
              </w:rPr>
              <w:t>A kötelezően közzéteendő információkkal kapcsolatos változások követése, a portálon közétett információk frissítése</w:t>
            </w:r>
          </w:p>
        </w:tc>
      </w:tr>
      <w:tr w:rsidR="00A136F6" w:rsidRPr="009D2921" w:rsidTr="00296727">
        <w:trPr>
          <w:cantSplit/>
        </w:trPr>
        <w:tc>
          <w:tcPr>
            <w:tcW w:w="1561" w:type="pct"/>
            <w:vAlign w:val="center"/>
          </w:tcPr>
          <w:p w:rsidR="00A136F6" w:rsidRPr="0038416A" w:rsidRDefault="00A136F6" w:rsidP="00296727">
            <w:pPr>
              <w:pStyle w:val="Tablazat2"/>
              <w:spacing w:before="120" w:after="120"/>
            </w:pPr>
            <w:r>
              <w:t>Elektronikus szignálás</w:t>
            </w:r>
          </w:p>
        </w:tc>
        <w:tc>
          <w:tcPr>
            <w:tcW w:w="1169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Minden szervezeti egység</w:t>
            </w:r>
          </w:p>
        </w:tc>
        <w:tc>
          <w:tcPr>
            <w:tcW w:w="2270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</w:pPr>
            <w:r>
              <w:rPr>
                <w:i w:val="0"/>
              </w:rPr>
              <w:t>Az elektronikus rendszerben történő szignálás eljárásrendjének beépítése az iratkezelési szabályzatba (automatikus szignálás, többszintű szignálás)</w:t>
            </w:r>
          </w:p>
        </w:tc>
      </w:tr>
      <w:tr w:rsidR="00A136F6" w:rsidRPr="009D2921" w:rsidTr="00296727">
        <w:trPr>
          <w:cantSplit/>
        </w:trPr>
        <w:tc>
          <w:tcPr>
            <w:tcW w:w="1561" w:type="pct"/>
            <w:vAlign w:val="center"/>
          </w:tcPr>
          <w:p w:rsidR="00A136F6" w:rsidRDefault="00A136F6" w:rsidP="00296727">
            <w:pPr>
              <w:pStyle w:val="Tablazat2"/>
              <w:spacing w:before="120" w:after="120"/>
            </w:pPr>
            <w:r>
              <w:t>Iktatás</w:t>
            </w:r>
          </w:p>
        </w:tc>
        <w:tc>
          <w:tcPr>
            <w:tcW w:w="1169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  <w:rPr>
                <w:i w:val="0"/>
              </w:rPr>
            </w:pPr>
            <w:r>
              <w:rPr>
                <w:i w:val="0"/>
              </w:rPr>
              <w:t>Iratkezelés</w:t>
            </w:r>
          </w:p>
        </w:tc>
        <w:tc>
          <w:tcPr>
            <w:tcW w:w="2270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Előzményezési szabályok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Ügytípus szerinti besorolás szabályai, irattári tételek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„Szerelési” szabályok</w:t>
            </w:r>
          </w:p>
          <w:p w:rsidR="00A136F6" w:rsidRPr="00BC4DC4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Előadói ív nyomtatás eljárásrendje (ha szükséges)</w:t>
            </w:r>
          </w:p>
        </w:tc>
      </w:tr>
      <w:tr w:rsidR="00A136F6" w:rsidRPr="009D2921" w:rsidTr="00296727">
        <w:trPr>
          <w:cantSplit/>
        </w:trPr>
        <w:tc>
          <w:tcPr>
            <w:tcW w:w="1561" w:type="pct"/>
            <w:vAlign w:val="center"/>
          </w:tcPr>
          <w:p w:rsidR="00A136F6" w:rsidRDefault="00A136F6" w:rsidP="00296727">
            <w:pPr>
              <w:pStyle w:val="Tablazat2"/>
              <w:spacing w:before="120" w:after="120"/>
            </w:pPr>
            <w:r>
              <w:t>Belső elektronikus iratforgalom</w:t>
            </w:r>
          </w:p>
          <w:p w:rsidR="00A136F6" w:rsidRDefault="00A136F6" w:rsidP="00296727">
            <w:pPr>
              <w:pStyle w:val="Tablazat2"/>
              <w:spacing w:before="120" w:after="120"/>
            </w:pPr>
          </w:p>
        </w:tc>
        <w:tc>
          <w:tcPr>
            <w:tcW w:w="1169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</w:pPr>
            <w:r>
              <w:rPr>
                <w:i w:val="0"/>
              </w:rPr>
              <w:t>Minden szervezeti egység</w:t>
            </w:r>
          </w:p>
        </w:tc>
        <w:tc>
          <w:tcPr>
            <w:tcW w:w="2270" w:type="pct"/>
            <w:vAlign w:val="center"/>
          </w:tcPr>
          <w:p w:rsidR="00A136F6" w:rsidRPr="0039636F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</w:pPr>
            <w:r w:rsidRPr="00BC4DC4">
              <w:rPr>
                <w:i w:val="0"/>
              </w:rPr>
              <w:t xml:space="preserve">Az elektronikus átadás-átvétel </w:t>
            </w:r>
            <w:r>
              <w:rPr>
                <w:i w:val="0"/>
              </w:rPr>
              <w:t xml:space="preserve">eljárásrendjének </w:t>
            </w:r>
            <w:r w:rsidRPr="00BC4DC4">
              <w:rPr>
                <w:i w:val="0"/>
              </w:rPr>
              <w:t>beépítése az iratkezelési</w:t>
            </w:r>
            <w:r>
              <w:rPr>
                <w:i w:val="0"/>
              </w:rPr>
              <w:t xml:space="preserve"> szabályzatba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</w:pPr>
            <w:r>
              <w:rPr>
                <w:i w:val="0"/>
              </w:rPr>
              <w:t>„Postakönyv” kiváltatása kísérőlapokkal, átvételi elismervényekkel</w:t>
            </w:r>
          </w:p>
        </w:tc>
      </w:tr>
      <w:tr w:rsidR="00A136F6" w:rsidRPr="009D2921" w:rsidTr="00296727">
        <w:trPr>
          <w:cantSplit/>
        </w:trPr>
        <w:tc>
          <w:tcPr>
            <w:tcW w:w="1561" w:type="pct"/>
            <w:vAlign w:val="center"/>
          </w:tcPr>
          <w:p w:rsidR="00A136F6" w:rsidRDefault="00A136F6" w:rsidP="00296727">
            <w:pPr>
              <w:pStyle w:val="Tablazat2"/>
              <w:spacing w:before="120" w:after="120"/>
            </w:pPr>
            <w:r>
              <w:t>Elektronikus kézbesítés</w:t>
            </w:r>
          </w:p>
        </w:tc>
        <w:tc>
          <w:tcPr>
            <w:tcW w:w="1169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  <w:rPr>
                <w:i w:val="0"/>
              </w:rPr>
            </w:pPr>
            <w:r>
              <w:rPr>
                <w:i w:val="0"/>
              </w:rPr>
              <w:t>Minden szervezeti egység</w:t>
            </w:r>
          </w:p>
        </w:tc>
        <w:tc>
          <w:tcPr>
            <w:tcW w:w="2270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Expediálási szabályok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Kézbesítendő küldemények eljuttatása a postázásért felelős munkatársaknak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Szervezeti aláírás alkalmazásának eljárásrendje</w:t>
            </w:r>
          </w:p>
          <w:p w:rsidR="00A136F6" w:rsidRPr="00BC4DC4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Tértivevény érkeztetés eljárásrendje</w:t>
            </w:r>
          </w:p>
        </w:tc>
      </w:tr>
      <w:tr w:rsidR="00A136F6" w:rsidRPr="009D2921" w:rsidTr="00296727">
        <w:trPr>
          <w:cantSplit/>
        </w:trPr>
        <w:tc>
          <w:tcPr>
            <w:tcW w:w="1561" w:type="pct"/>
            <w:vAlign w:val="center"/>
          </w:tcPr>
          <w:p w:rsidR="00A136F6" w:rsidRDefault="00A136F6" w:rsidP="00296727">
            <w:pPr>
              <w:pStyle w:val="Tablazat2"/>
              <w:spacing w:before="120" w:after="120"/>
            </w:pPr>
            <w:r>
              <w:t>Elektronikus űrlapok paraméterezése, változáskezelés</w:t>
            </w:r>
          </w:p>
        </w:tc>
        <w:tc>
          <w:tcPr>
            <w:tcW w:w="1169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  <w:rPr>
                <w:i w:val="0"/>
              </w:rPr>
            </w:pPr>
            <w:r>
              <w:rPr>
                <w:i w:val="0"/>
              </w:rPr>
              <w:t>Informatika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  <w:rPr>
                <w:i w:val="0"/>
              </w:rPr>
            </w:pPr>
            <w:r>
              <w:rPr>
                <w:i w:val="0"/>
              </w:rPr>
              <w:t>Adó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  <w:rPr>
                <w:i w:val="0"/>
              </w:rPr>
            </w:pPr>
            <w:r>
              <w:rPr>
                <w:i w:val="0"/>
              </w:rPr>
              <w:t>Ipar-kereskedelem</w:t>
            </w:r>
          </w:p>
        </w:tc>
        <w:tc>
          <w:tcPr>
            <w:tcW w:w="2270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Az elektronikus űrlapkezeléssel kapcsolatos helyi szabályok közzététele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Beküldhető elektronikus űrlapok körének meghatározása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Űrlapváltozatok kiválasztása és űrlapparaméterek beállítása</w:t>
            </w:r>
          </w:p>
        </w:tc>
      </w:tr>
      <w:tr w:rsidR="00A136F6" w:rsidRPr="009D2921" w:rsidTr="00296727">
        <w:trPr>
          <w:cantSplit/>
        </w:trPr>
        <w:tc>
          <w:tcPr>
            <w:tcW w:w="1561" w:type="pct"/>
            <w:vAlign w:val="center"/>
          </w:tcPr>
          <w:p w:rsidR="00A136F6" w:rsidRDefault="00A136F6" w:rsidP="00296727">
            <w:pPr>
              <w:pStyle w:val="Tablazat2"/>
              <w:spacing w:before="120" w:after="120"/>
            </w:pPr>
            <w:r>
              <w:t>Elektronikus irattár</w:t>
            </w:r>
          </w:p>
        </w:tc>
        <w:tc>
          <w:tcPr>
            <w:tcW w:w="1169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6"/>
              </w:numPr>
              <w:ind w:left="444"/>
              <w:rPr>
                <w:i w:val="0"/>
              </w:rPr>
            </w:pPr>
            <w:r>
              <w:rPr>
                <w:i w:val="0"/>
              </w:rPr>
              <w:t>Minden szervezeti egység</w:t>
            </w:r>
          </w:p>
        </w:tc>
        <w:tc>
          <w:tcPr>
            <w:tcW w:w="2270" w:type="pct"/>
            <w:vAlign w:val="center"/>
          </w:tcPr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Irattári terv megalkotása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Selejtezési és levéltárba adás eljárásrendjének kidolgozása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Irattárba helyezés eljárásrendjének kidolgozása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Irattárból kikérés eljárásrendjének kidolgozása</w:t>
            </w:r>
          </w:p>
          <w:p w:rsidR="00A136F6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Határidőtár (</w:t>
            </w:r>
            <w:proofErr w:type="spellStart"/>
            <w:r>
              <w:rPr>
                <w:i w:val="0"/>
              </w:rPr>
              <w:t>scontro</w:t>
            </w:r>
            <w:proofErr w:type="spellEnd"/>
            <w:r>
              <w:rPr>
                <w:i w:val="0"/>
              </w:rPr>
              <w:t>) szolgáltatások</w:t>
            </w:r>
          </w:p>
          <w:p w:rsidR="00A136F6" w:rsidRPr="00BC4DC4" w:rsidRDefault="00A136F6" w:rsidP="00296727">
            <w:pPr>
              <w:pStyle w:val="Jogsztablazatban"/>
              <w:numPr>
                <w:ilvl w:val="0"/>
                <w:numId w:val="27"/>
              </w:numPr>
              <w:ind w:left="609"/>
              <w:rPr>
                <w:i w:val="0"/>
              </w:rPr>
            </w:pPr>
            <w:r>
              <w:rPr>
                <w:i w:val="0"/>
              </w:rPr>
              <w:t>Kézi irattárak és a központi irattár közötti iratáthelyezés szabályai</w:t>
            </w:r>
          </w:p>
        </w:tc>
      </w:tr>
    </w:tbl>
    <w:p w:rsidR="00A136F6" w:rsidRPr="001C6521" w:rsidRDefault="00A136F6" w:rsidP="00A136F6">
      <w:pPr>
        <w:pStyle w:val="Cmsor1"/>
      </w:pPr>
      <w:r w:rsidRPr="001C6521">
        <w:t>Munkaköri leírások</w:t>
      </w:r>
    </w:p>
    <w:p w:rsidR="00A136F6" w:rsidRPr="001C6521" w:rsidRDefault="00A136F6" w:rsidP="00A136F6">
      <w:r w:rsidRPr="001C6521">
        <w:t>A</w:t>
      </w:r>
      <w:r>
        <w:t>z ASP</w:t>
      </w:r>
      <w:r w:rsidRPr="001C6521">
        <w:t xml:space="preserve"> Központhoz való csatlakozás változást jelent polgármesteri hivatalok munkájában is. A létrejövő új feladatokat és felelősségi köröket be kell építeni az érintett hivatali munkatársak munkaköri leírásába is. </w:t>
      </w:r>
    </w:p>
    <w:p w:rsidR="00A136F6" w:rsidRPr="001C6521" w:rsidRDefault="00A136F6" w:rsidP="00A136F6">
      <w:pPr>
        <w:spacing w:before="0" w:after="0"/>
      </w:pPr>
    </w:p>
    <w:tbl>
      <w:tblPr>
        <w:tblStyle w:val="Rcsostblzat"/>
        <w:tblW w:w="14029" w:type="dxa"/>
        <w:tblLook w:val="04A0" w:firstRow="1" w:lastRow="0" w:firstColumn="1" w:lastColumn="0" w:noHBand="0" w:noVBand="1"/>
      </w:tblPr>
      <w:tblGrid>
        <w:gridCol w:w="7083"/>
        <w:gridCol w:w="6946"/>
      </w:tblGrid>
      <w:tr w:rsidR="00A136F6" w:rsidRPr="001C6521" w:rsidTr="00296727">
        <w:tc>
          <w:tcPr>
            <w:tcW w:w="7083" w:type="dxa"/>
            <w:shd w:val="clear" w:color="auto" w:fill="4F81BD" w:themeFill="accent1"/>
            <w:vAlign w:val="center"/>
          </w:tcPr>
          <w:p w:rsidR="00A136F6" w:rsidRPr="00E851AF" w:rsidRDefault="00A136F6" w:rsidP="00A136F6">
            <w:pPr>
              <w:spacing w:before="60" w:after="60"/>
              <w:rPr>
                <w:b/>
                <w:color w:val="FFFFFF" w:themeColor="background1"/>
              </w:rPr>
            </w:pPr>
            <w:r w:rsidRPr="00E851AF">
              <w:rPr>
                <w:b/>
                <w:color w:val="FFFFFF" w:themeColor="background1"/>
              </w:rPr>
              <w:t>Felelősségi kör</w:t>
            </w:r>
          </w:p>
        </w:tc>
        <w:tc>
          <w:tcPr>
            <w:tcW w:w="6946" w:type="dxa"/>
            <w:shd w:val="clear" w:color="auto" w:fill="4F81BD" w:themeFill="accent1"/>
            <w:vAlign w:val="center"/>
          </w:tcPr>
          <w:p w:rsidR="00A136F6" w:rsidRPr="00E851AF" w:rsidRDefault="00A136F6" w:rsidP="00A136F6">
            <w:pPr>
              <w:spacing w:before="60" w:after="60"/>
              <w:rPr>
                <w:b/>
                <w:color w:val="FFFFFF" w:themeColor="background1"/>
              </w:rPr>
            </w:pPr>
            <w:r w:rsidRPr="00E851AF">
              <w:rPr>
                <w:b/>
                <w:color w:val="FFFFFF" w:themeColor="background1"/>
              </w:rPr>
              <w:t>Érintett munkatársak</w:t>
            </w:r>
          </w:p>
        </w:tc>
      </w:tr>
      <w:tr w:rsidR="00A136F6" w:rsidRPr="001C6521" w:rsidTr="00296727">
        <w:tc>
          <w:tcPr>
            <w:tcW w:w="7083" w:type="dxa"/>
            <w:vAlign w:val="center"/>
          </w:tcPr>
          <w:p w:rsidR="00A136F6" w:rsidRPr="001C6521" w:rsidRDefault="00A136F6" w:rsidP="00A136F6">
            <w:pPr>
              <w:pStyle w:val="Tablazat2"/>
              <w:spacing w:before="60" w:after="60"/>
              <w:jc w:val="both"/>
            </w:pPr>
            <w:r w:rsidRPr="001C6521">
              <w:t>Az ASP központ biztosította rendszerek munkakörnyezetként való használata</w:t>
            </w:r>
          </w:p>
        </w:tc>
        <w:tc>
          <w:tcPr>
            <w:tcW w:w="6946" w:type="dxa"/>
            <w:vAlign w:val="center"/>
          </w:tcPr>
          <w:p w:rsidR="00A136F6" w:rsidRPr="001C6521" w:rsidRDefault="00A136F6" w:rsidP="00A136F6">
            <w:pPr>
              <w:pStyle w:val="Tablazat2"/>
              <w:spacing w:before="60" w:after="60"/>
              <w:jc w:val="both"/>
            </w:pPr>
            <w:r w:rsidRPr="001C6521">
              <w:t>Minden hivatali munkatárs, aki a rendszert használja</w:t>
            </w:r>
          </w:p>
        </w:tc>
      </w:tr>
      <w:tr w:rsidR="00A136F6" w:rsidRPr="001C6521" w:rsidTr="00296727">
        <w:tc>
          <w:tcPr>
            <w:tcW w:w="7083" w:type="dxa"/>
            <w:vAlign w:val="center"/>
          </w:tcPr>
          <w:p w:rsidR="00A136F6" w:rsidRPr="001C6521" w:rsidRDefault="00A136F6" w:rsidP="00A136F6">
            <w:pPr>
              <w:pStyle w:val="Tablazat2"/>
              <w:spacing w:before="60" w:after="60"/>
              <w:jc w:val="both"/>
            </w:pPr>
            <w:r w:rsidRPr="001C6521">
              <w:t>A központ használatával kapcsolatos informatikai biztonsági felelősségi kérdések</w:t>
            </w:r>
          </w:p>
        </w:tc>
        <w:tc>
          <w:tcPr>
            <w:tcW w:w="6946" w:type="dxa"/>
            <w:vAlign w:val="center"/>
          </w:tcPr>
          <w:p w:rsidR="00A136F6" w:rsidRPr="001C6521" w:rsidRDefault="00A136F6" w:rsidP="00A136F6">
            <w:pPr>
              <w:pStyle w:val="Tablazat2"/>
              <w:spacing w:before="60" w:after="60"/>
              <w:jc w:val="both"/>
            </w:pPr>
            <w:r w:rsidRPr="001C6521">
              <w:t>Minden hivatali munkatárs, aki a rendszert használja</w:t>
            </w:r>
          </w:p>
        </w:tc>
      </w:tr>
      <w:tr w:rsidR="00A136F6" w:rsidRPr="001C6521" w:rsidTr="00296727">
        <w:tc>
          <w:tcPr>
            <w:tcW w:w="7083" w:type="dxa"/>
            <w:vAlign w:val="center"/>
          </w:tcPr>
          <w:p w:rsidR="00A136F6" w:rsidRPr="001C6521" w:rsidRDefault="00A136F6" w:rsidP="00A136F6">
            <w:pPr>
              <w:pStyle w:val="Tablazat2"/>
              <w:spacing w:before="60" w:after="60"/>
              <w:jc w:val="both"/>
            </w:pPr>
            <w:r w:rsidRPr="001C6521">
              <w:t>Az elektronikus kiadmányozáshoz szükséges tanúsítványokkal kapcsolatos teendők</w:t>
            </w:r>
          </w:p>
        </w:tc>
        <w:tc>
          <w:tcPr>
            <w:tcW w:w="6946" w:type="dxa"/>
            <w:vAlign w:val="center"/>
          </w:tcPr>
          <w:p w:rsidR="00A136F6" w:rsidRPr="001C6521" w:rsidRDefault="00A136F6" w:rsidP="00A136F6">
            <w:pPr>
              <w:pStyle w:val="Tablazat2"/>
              <w:spacing w:before="60" w:after="60"/>
              <w:jc w:val="both"/>
            </w:pPr>
            <w:r w:rsidRPr="001C6521">
              <w:t>Kiadmányozási jogkört gyakorló hivatali munkatársak</w:t>
            </w:r>
          </w:p>
        </w:tc>
      </w:tr>
      <w:tr w:rsidR="00A136F6" w:rsidRPr="001C6521" w:rsidTr="00296727">
        <w:tc>
          <w:tcPr>
            <w:tcW w:w="7083" w:type="dxa"/>
            <w:vAlign w:val="center"/>
          </w:tcPr>
          <w:p w:rsidR="00A136F6" w:rsidRPr="001C6521" w:rsidRDefault="00A136F6" w:rsidP="00A136F6">
            <w:pPr>
              <w:pStyle w:val="Tablazat2"/>
              <w:spacing w:before="60" w:after="60"/>
              <w:jc w:val="both"/>
            </w:pPr>
            <w:r w:rsidRPr="001C6521">
              <w:t>Kulcsfelhasználói feladatok</w:t>
            </w:r>
          </w:p>
        </w:tc>
        <w:tc>
          <w:tcPr>
            <w:tcW w:w="6946" w:type="dxa"/>
            <w:vAlign w:val="center"/>
          </w:tcPr>
          <w:p w:rsidR="00A136F6" w:rsidRPr="001C6521" w:rsidRDefault="00A136F6" w:rsidP="00A136F6">
            <w:pPr>
              <w:pStyle w:val="Tablazat2"/>
              <w:spacing w:before="60" w:after="60"/>
              <w:jc w:val="both"/>
            </w:pPr>
            <w:r w:rsidRPr="001C6521">
              <w:t>Az egyes szakrendszerek kulcsfelhasználói</w:t>
            </w:r>
          </w:p>
        </w:tc>
      </w:tr>
      <w:tr w:rsidR="00A136F6" w:rsidRPr="001C6521" w:rsidTr="00296727">
        <w:tc>
          <w:tcPr>
            <w:tcW w:w="7083" w:type="dxa"/>
            <w:vAlign w:val="center"/>
          </w:tcPr>
          <w:p w:rsidR="00A136F6" w:rsidRPr="001C6521" w:rsidRDefault="00A136F6" w:rsidP="00A136F6">
            <w:pPr>
              <w:pStyle w:val="Tablazat2"/>
              <w:spacing w:before="60" w:after="60"/>
              <w:jc w:val="both"/>
            </w:pPr>
            <w:r w:rsidRPr="001C6521">
              <w:t>Az interneten megjelenítendő kötelező információszolgáltatás karbantartásával kapcsolatos feladatok</w:t>
            </w:r>
          </w:p>
        </w:tc>
        <w:tc>
          <w:tcPr>
            <w:tcW w:w="6946" w:type="dxa"/>
            <w:vAlign w:val="center"/>
          </w:tcPr>
          <w:p w:rsidR="00A136F6" w:rsidRPr="001C6521" w:rsidRDefault="00A136F6" w:rsidP="00A136F6">
            <w:pPr>
              <w:pStyle w:val="Tablazat2"/>
              <w:spacing w:before="60" w:after="60"/>
              <w:jc w:val="both"/>
            </w:pPr>
            <w:r w:rsidRPr="001C6521">
              <w:t>Az erre a feladatra kijelölt hivatali munkatárs</w:t>
            </w:r>
          </w:p>
        </w:tc>
      </w:tr>
      <w:tr w:rsidR="00A136F6" w:rsidRPr="001C6521" w:rsidTr="00296727">
        <w:tc>
          <w:tcPr>
            <w:tcW w:w="7083" w:type="dxa"/>
            <w:vAlign w:val="center"/>
          </w:tcPr>
          <w:p w:rsidR="00A136F6" w:rsidRPr="001C6521" w:rsidRDefault="00A136F6" w:rsidP="00A136F6">
            <w:pPr>
              <w:pStyle w:val="Tablazat2"/>
              <w:spacing w:before="60" w:after="60"/>
              <w:jc w:val="both"/>
            </w:pPr>
            <w:r w:rsidRPr="001C6521">
              <w:t>Technikai kapcsolattartói feladatok</w:t>
            </w:r>
          </w:p>
        </w:tc>
        <w:tc>
          <w:tcPr>
            <w:tcW w:w="6946" w:type="dxa"/>
            <w:vAlign w:val="center"/>
          </w:tcPr>
          <w:p w:rsidR="00A136F6" w:rsidRPr="001C6521" w:rsidRDefault="00A136F6" w:rsidP="00A136F6">
            <w:pPr>
              <w:pStyle w:val="Tablazat2"/>
              <w:spacing w:before="60" w:after="60"/>
              <w:jc w:val="both"/>
            </w:pPr>
            <w:r w:rsidRPr="001C6521">
              <w:t>Az erre a feladatra kijelölt hivatali munkatárs</w:t>
            </w:r>
          </w:p>
        </w:tc>
      </w:tr>
    </w:tbl>
    <w:p w:rsidR="00A136F6" w:rsidRPr="001C6521" w:rsidRDefault="00A136F6" w:rsidP="00A136F6">
      <w:pPr>
        <w:spacing w:before="0" w:after="0"/>
      </w:pPr>
    </w:p>
    <w:p w:rsidR="00A136F6" w:rsidRDefault="00A136F6" w:rsidP="00A136F6">
      <w:pPr>
        <w:spacing w:before="0" w:after="0"/>
      </w:pPr>
      <w:r w:rsidRPr="001C6521">
        <w:t>A felelősségi körökhöz tartozó</w:t>
      </w:r>
      <w:r>
        <w:t xml:space="preserve"> részletes</w:t>
      </w:r>
      <w:r w:rsidRPr="001C6521">
        <w:t xml:space="preserve"> feladatokat </w:t>
      </w:r>
      <w:r>
        <w:t xml:space="preserve">a Kézikönyvben meghivatkozott </w:t>
      </w:r>
      <w:r>
        <w:t>„</w:t>
      </w:r>
      <w:r w:rsidRPr="001C6521">
        <w:rPr>
          <w:b/>
        </w:rPr>
        <w:t>Segédlet az önkormányzatok szabályozási feltételeinek megteremtéséhez</w:t>
      </w:r>
      <w:r>
        <w:rPr>
          <w:b/>
        </w:rPr>
        <w:t>”</w:t>
      </w:r>
      <w:r w:rsidRPr="001C6521">
        <w:rPr>
          <w:b/>
        </w:rPr>
        <w:t xml:space="preserve"> c. </w:t>
      </w:r>
      <w:r w:rsidRPr="000E3F59">
        <w:rPr>
          <w:b/>
        </w:rPr>
        <w:t xml:space="preserve">dokumentum </w:t>
      </w:r>
      <w:r w:rsidRPr="001C6521">
        <w:t>tartalmazza.</w:t>
      </w:r>
    </w:p>
    <w:p w:rsidR="00A136F6" w:rsidRPr="00231E29" w:rsidRDefault="00A136F6" w:rsidP="00A136F6">
      <w:bookmarkStart w:id="0" w:name="_GoBack"/>
      <w:bookmarkEnd w:id="0"/>
    </w:p>
    <w:sectPr w:rsidR="00A136F6" w:rsidRPr="00231E29" w:rsidSect="002967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759" w:rsidRDefault="006A5759">
      <w:pPr>
        <w:spacing w:before="0" w:after="0"/>
      </w:pPr>
      <w:r>
        <w:separator/>
      </w:r>
    </w:p>
  </w:endnote>
  <w:endnote w:type="continuationSeparator" w:id="0">
    <w:p w:rsidR="006A5759" w:rsidRDefault="006A575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6F6" w:rsidRDefault="00A136F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E29" w:rsidRPr="00A136F6" w:rsidRDefault="00296727" w:rsidP="00A136F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6F6" w:rsidRDefault="00A136F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759" w:rsidRDefault="006A5759">
      <w:pPr>
        <w:spacing w:before="0" w:after="0"/>
      </w:pPr>
      <w:r>
        <w:separator/>
      </w:r>
    </w:p>
  </w:footnote>
  <w:footnote w:type="continuationSeparator" w:id="0">
    <w:p w:rsidR="006A5759" w:rsidRDefault="006A575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6F6" w:rsidRDefault="00A136F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E29" w:rsidRPr="00A136F6" w:rsidRDefault="00296727" w:rsidP="00A136F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6F6" w:rsidRDefault="00A136F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178F0"/>
    <w:multiLevelType w:val="multilevel"/>
    <w:tmpl w:val="6C3257AC"/>
    <w:lvl w:ilvl="0">
      <w:start w:val="1"/>
      <w:numFmt w:val="decimal"/>
      <w:pStyle w:val="Cmsor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>
    <w:nsid w:val="026C1148"/>
    <w:multiLevelType w:val="hybridMultilevel"/>
    <w:tmpl w:val="6D6C23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F6D3C"/>
    <w:multiLevelType w:val="hybridMultilevel"/>
    <w:tmpl w:val="2BA0EF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B0AB6"/>
    <w:multiLevelType w:val="hybridMultilevel"/>
    <w:tmpl w:val="3AEA883E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0F991B3E"/>
    <w:multiLevelType w:val="hybridMultilevel"/>
    <w:tmpl w:val="EDC8DB90"/>
    <w:lvl w:ilvl="0" w:tplc="C896A96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>
    <w:nsid w:val="14F93FD0"/>
    <w:multiLevelType w:val="hybridMultilevel"/>
    <w:tmpl w:val="ABD475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B285D"/>
    <w:multiLevelType w:val="hybridMultilevel"/>
    <w:tmpl w:val="BEECE0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3165D"/>
    <w:multiLevelType w:val="hybridMultilevel"/>
    <w:tmpl w:val="52FAA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343DA"/>
    <w:multiLevelType w:val="hybridMultilevel"/>
    <w:tmpl w:val="8F4E0A66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>
    <w:nsid w:val="246560C8"/>
    <w:multiLevelType w:val="hybridMultilevel"/>
    <w:tmpl w:val="6BC03EE0"/>
    <w:lvl w:ilvl="0" w:tplc="040E000F">
      <w:start w:val="1"/>
      <w:numFmt w:val="decimal"/>
      <w:lvlText w:val="%1."/>
      <w:lvlJc w:val="left"/>
      <w:pPr>
        <w:ind w:left="890" w:hanging="360"/>
      </w:pPr>
    </w:lvl>
    <w:lvl w:ilvl="1" w:tplc="040E0019" w:tentative="1">
      <w:start w:val="1"/>
      <w:numFmt w:val="lowerLetter"/>
      <w:lvlText w:val="%2."/>
      <w:lvlJc w:val="left"/>
      <w:pPr>
        <w:ind w:left="1610" w:hanging="360"/>
      </w:pPr>
    </w:lvl>
    <w:lvl w:ilvl="2" w:tplc="040E001B" w:tentative="1">
      <w:start w:val="1"/>
      <w:numFmt w:val="lowerRoman"/>
      <w:lvlText w:val="%3."/>
      <w:lvlJc w:val="right"/>
      <w:pPr>
        <w:ind w:left="2330" w:hanging="180"/>
      </w:pPr>
    </w:lvl>
    <w:lvl w:ilvl="3" w:tplc="040E000F" w:tentative="1">
      <w:start w:val="1"/>
      <w:numFmt w:val="decimal"/>
      <w:lvlText w:val="%4."/>
      <w:lvlJc w:val="left"/>
      <w:pPr>
        <w:ind w:left="3050" w:hanging="360"/>
      </w:pPr>
    </w:lvl>
    <w:lvl w:ilvl="4" w:tplc="040E0019" w:tentative="1">
      <w:start w:val="1"/>
      <w:numFmt w:val="lowerLetter"/>
      <w:lvlText w:val="%5."/>
      <w:lvlJc w:val="left"/>
      <w:pPr>
        <w:ind w:left="3770" w:hanging="360"/>
      </w:pPr>
    </w:lvl>
    <w:lvl w:ilvl="5" w:tplc="040E001B" w:tentative="1">
      <w:start w:val="1"/>
      <w:numFmt w:val="lowerRoman"/>
      <w:lvlText w:val="%6."/>
      <w:lvlJc w:val="right"/>
      <w:pPr>
        <w:ind w:left="4490" w:hanging="180"/>
      </w:pPr>
    </w:lvl>
    <w:lvl w:ilvl="6" w:tplc="040E000F" w:tentative="1">
      <w:start w:val="1"/>
      <w:numFmt w:val="decimal"/>
      <w:lvlText w:val="%7."/>
      <w:lvlJc w:val="left"/>
      <w:pPr>
        <w:ind w:left="5210" w:hanging="360"/>
      </w:pPr>
    </w:lvl>
    <w:lvl w:ilvl="7" w:tplc="040E0019" w:tentative="1">
      <w:start w:val="1"/>
      <w:numFmt w:val="lowerLetter"/>
      <w:lvlText w:val="%8."/>
      <w:lvlJc w:val="left"/>
      <w:pPr>
        <w:ind w:left="5930" w:hanging="360"/>
      </w:pPr>
    </w:lvl>
    <w:lvl w:ilvl="8" w:tplc="040E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>
    <w:nsid w:val="2BA518C5"/>
    <w:multiLevelType w:val="hybridMultilevel"/>
    <w:tmpl w:val="6B4499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B03C7"/>
    <w:multiLevelType w:val="hybridMultilevel"/>
    <w:tmpl w:val="171CE6BC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2">
    <w:nsid w:val="2F1860C8"/>
    <w:multiLevelType w:val="hybridMultilevel"/>
    <w:tmpl w:val="210E70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61F2F"/>
    <w:multiLevelType w:val="hybridMultilevel"/>
    <w:tmpl w:val="167C03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B3D36"/>
    <w:multiLevelType w:val="hybridMultilevel"/>
    <w:tmpl w:val="E74862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97D1F"/>
    <w:multiLevelType w:val="hybridMultilevel"/>
    <w:tmpl w:val="54EAF28A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>
    <w:nsid w:val="3D953BB4"/>
    <w:multiLevelType w:val="hybridMultilevel"/>
    <w:tmpl w:val="59EC26E4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>
    <w:nsid w:val="4CD26C75"/>
    <w:multiLevelType w:val="hybridMultilevel"/>
    <w:tmpl w:val="271E0E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AB4401"/>
    <w:multiLevelType w:val="hybridMultilevel"/>
    <w:tmpl w:val="36D8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2902C1"/>
    <w:multiLevelType w:val="hybridMultilevel"/>
    <w:tmpl w:val="C5305E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9E0555"/>
    <w:multiLevelType w:val="hybridMultilevel"/>
    <w:tmpl w:val="69D47856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1">
    <w:nsid w:val="6702160A"/>
    <w:multiLevelType w:val="hybridMultilevel"/>
    <w:tmpl w:val="4CEC6F7A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2">
    <w:nsid w:val="6C636F57"/>
    <w:multiLevelType w:val="hybridMultilevel"/>
    <w:tmpl w:val="5BB20E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3206DF"/>
    <w:multiLevelType w:val="hybridMultilevel"/>
    <w:tmpl w:val="6C8E0B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596438"/>
    <w:multiLevelType w:val="hybridMultilevel"/>
    <w:tmpl w:val="078AB78A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5">
    <w:nsid w:val="7E2D5FB7"/>
    <w:multiLevelType w:val="hybridMultilevel"/>
    <w:tmpl w:val="95FA33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EB1EC8"/>
    <w:multiLevelType w:val="hybridMultilevel"/>
    <w:tmpl w:val="354E3D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6"/>
  </w:num>
  <w:num w:numId="6">
    <w:abstractNumId w:val="10"/>
  </w:num>
  <w:num w:numId="7">
    <w:abstractNumId w:val="9"/>
  </w:num>
  <w:num w:numId="8">
    <w:abstractNumId w:val="4"/>
  </w:num>
  <w:num w:numId="9">
    <w:abstractNumId w:val="22"/>
  </w:num>
  <w:num w:numId="10">
    <w:abstractNumId w:val="3"/>
  </w:num>
  <w:num w:numId="11">
    <w:abstractNumId w:val="19"/>
  </w:num>
  <w:num w:numId="12">
    <w:abstractNumId w:val="17"/>
  </w:num>
  <w:num w:numId="13">
    <w:abstractNumId w:val="24"/>
  </w:num>
  <w:num w:numId="14">
    <w:abstractNumId w:val="14"/>
  </w:num>
  <w:num w:numId="15">
    <w:abstractNumId w:val="18"/>
  </w:num>
  <w:num w:numId="16">
    <w:abstractNumId w:val="25"/>
  </w:num>
  <w:num w:numId="17">
    <w:abstractNumId w:val="13"/>
  </w:num>
  <w:num w:numId="18">
    <w:abstractNumId w:val="11"/>
  </w:num>
  <w:num w:numId="19">
    <w:abstractNumId w:val="20"/>
  </w:num>
  <w:num w:numId="20">
    <w:abstractNumId w:val="5"/>
  </w:num>
  <w:num w:numId="21">
    <w:abstractNumId w:val="15"/>
  </w:num>
  <w:num w:numId="22">
    <w:abstractNumId w:val="16"/>
  </w:num>
  <w:num w:numId="23">
    <w:abstractNumId w:val="21"/>
  </w:num>
  <w:num w:numId="24">
    <w:abstractNumId w:val="26"/>
  </w:num>
  <w:num w:numId="25">
    <w:abstractNumId w:val="8"/>
  </w:num>
  <w:num w:numId="26">
    <w:abstractNumId w:val="23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E2"/>
    <w:rsid w:val="00054F8D"/>
    <w:rsid w:val="00066534"/>
    <w:rsid w:val="000D493B"/>
    <w:rsid w:val="000F5CF0"/>
    <w:rsid w:val="001B6D89"/>
    <w:rsid w:val="001B6FB3"/>
    <w:rsid w:val="002417FD"/>
    <w:rsid w:val="00281A61"/>
    <w:rsid w:val="00295789"/>
    <w:rsid w:val="00296727"/>
    <w:rsid w:val="002C6EC6"/>
    <w:rsid w:val="002D61B4"/>
    <w:rsid w:val="00326FC0"/>
    <w:rsid w:val="003B737A"/>
    <w:rsid w:val="003F56B7"/>
    <w:rsid w:val="00593F09"/>
    <w:rsid w:val="005D17CD"/>
    <w:rsid w:val="005D7ED7"/>
    <w:rsid w:val="005F39AE"/>
    <w:rsid w:val="00614FC1"/>
    <w:rsid w:val="006477D9"/>
    <w:rsid w:val="006A5759"/>
    <w:rsid w:val="006A7EFF"/>
    <w:rsid w:val="0074329B"/>
    <w:rsid w:val="007E2900"/>
    <w:rsid w:val="00840560"/>
    <w:rsid w:val="00845AD5"/>
    <w:rsid w:val="008B6F30"/>
    <w:rsid w:val="009362AB"/>
    <w:rsid w:val="00963C14"/>
    <w:rsid w:val="009B5663"/>
    <w:rsid w:val="00A073E4"/>
    <w:rsid w:val="00A136F6"/>
    <w:rsid w:val="00AB1725"/>
    <w:rsid w:val="00AC79B5"/>
    <w:rsid w:val="00B60087"/>
    <w:rsid w:val="00B756E2"/>
    <w:rsid w:val="00B97352"/>
    <w:rsid w:val="00BC5658"/>
    <w:rsid w:val="00C20406"/>
    <w:rsid w:val="00C24810"/>
    <w:rsid w:val="00C26AE9"/>
    <w:rsid w:val="00C57510"/>
    <w:rsid w:val="00C57B83"/>
    <w:rsid w:val="00C77892"/>
    <w:rsid w:val="00DA4796"/>
    <w:rsid w:val="00DB1332"/>
    <w:rsid w:val="00DC2E36"/>
    <w:rsid w:val="00DD7EA0"/>
    <w:rsid w:val="00E23812"/>
    <w:rsid w:val="00E87DDC"/>
    <w:rsid w:val="00EE5293"/>
    <w:rsid w:val="00EE60B9"/>
    <w:rsid w:val="00EF1CDC"/>
    <w:rsid w:val="00F1347E"/>
    <w:rsid w:val="00F6706D"/>
    <w:rsid w:val="00FA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756E2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756E2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B756E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Cmsor3">
    <w:name w:val="heading 3"/>
    <w:aliases w:val="h3,h31,h32,h33,h311,h34,h312,h35,h313,h36,h37,h314,h38,h39,h310,h315,h321,h331,h3111,h341,h3121,h351,h3131,h361,h371,h3141,h381,h391,Map,H3,H31,H32,H33,H311,H321,H34,H312,H322,H35,H313,H323,H36,H314,H324,H37,H315,H325,H38,H316,H326,H39,H317,M"/>
    <w:basedOn w:val="Cmsor4"/>
    <w:next w:val="Norml"/>
    <w:link w:val="Cmsor3Char"/>
    <w:unhideWhenUsed/>
    <w:qFormat/>
    <w:rsid w:val="00B756E2"/>
    <w:pPr>
      <w:numPr>
        <w:ilvl w:val="2"/>
      </w:numPr>
      <w:outlineLvl w:val="2"/>
    </w:pPr>
    <w:rPr>
      <w:b w:val="0"/>
      <w:i w:val="0"/>
      <w:color w:val="auto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B756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756E2"/>
    <w:rPr>
      <w:rFonts w:asciiTheme="majorHAnsi" w:eastAsiaTheme="majorEastAsia" w:hAnsiTheme="majorHAnsi" w:cstheme="majorBidi"/>
      <w:b/>
      <w:bCs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B756E2"/>
    <w:rPr>
      <w:rFonts w:asciiTheme="majorHAnsi" w:eastAsiaTheme="majorEastAsia" w:hAnsiTheme="majorHAnsi" w:cstheme="majorBidi"/>
      <w:b/>
      <w:bCs/>
      <w:sz w:val="24"/>
      <w:szCs w:val="26"/>
      <w:lang w:eastAsia="hu-HU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B756E2"/>
    <w:rPr>
      <w:rFonts w:asciiTheme="majorHAnsi" w:eastAsiaTheme="majorEastAsia" w:hAnsiTheme="majorHAnsi" w:cstheme="majorBidi"/>
      <w:bCs/>
      <w:iCs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B756E2"/>
    <w:rPr>
      <w:rFonts w:asciiTheme="majorHAnsi" w:eastAsiaTheme="majorEastAsia" w:hAnsiTheme="majorHAnsi" w:cstheme="majorBidi"/>
      <w:b/>
      <w:bCs/>
      <w:i/>
      <w:iCs/>
      <w:color w:val="4F81BD" w:themeColor="accent1"/>
      <w:lang w:eastAsia="hu-HU"/>
    </w:rPr>
  </w:style>
  <w:style w:type="paragraph" w:styleId="Listaszerbekezds">
    <w:name w:val="List Paragraph"/>
    <w:aliases w:val="Welt L,Listaszerű bekezdés1"/>
    <w:basedOn w:val="Norml"/>
    <w:link w:val="ListaszerbekezdsChar"/>
    <w:uiPriority w:val="34"/>
    <w:qFormat/>
    <w:rsid w:val="00B756E2"/>
    <w:pPr>
      <w:ind w:left="720"/>
      <w:contextualSpacing/>
    </w:pPr>
  </w:style>
  <w:style w:type="character" w:customStyle="1" w:styleId="ListaszerbekezdsChar">
    <w:name w:val="Listaszerű bekezdés Char"/>
    <w:aliases w:val="Welt L Char,Listaszerű bekezdés1 Char"/>
    <w:basedOn w:val="Bekezdsalapbettpusa"/>
    <w:link w:val="Listaszerbekezds"/>
    <w:uiPriority w:val="34"/>
    <w:locked/>
    <w:rsid w:val="00B756E2"/>
    <w:rPr>
      <w:rFonts w:ascii="Arial" w:eastAsia="Times New Roman" w:hAnsi="Arial" w:cs="Arial"/>
      <w:lang w:eastAsia="hu-HU"/>
    </w:rPr>
  </w:style>
  <w:style w:type="character" w:styleId="Hiperhivatkozs">
    <w:name w:val="Hyperlink"/>
    <w:basedOn w:val="Bekezdsalapbettpusa"/>
    <w:uiPriority w:val="99"/>
    <w:unhideWhenUsed/>
    <w:rsid w:val="00B756E2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B756E2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B756E2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link w:val="llbChar"/>
    <w:unhideWhenUsed/>
    <w:rsid w:val="00B756E2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rsid w:val="00B756E2"/>
    <w:rPr>
      <w:rFonts w:ascii="Arial" w:eastAsia="Times New Roman" w:hAnsi="Arial" w:cs="Arial"/>
      <w:lang w:eastAsia="hu-HU"/>
    </w:rPr>
  </w:style>
  <w:style w:type="table" w:styleId="Rcsostblzat">
    <w:name w:val="Table Grid"/>
    <w:basedOn w:val="Normltblzat"/>
    <w:uiPriority w:val="59"/>
    <w:rsid w:val="00B756E2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zat">
    <w:name w:val="Tablazat"/>
    <w:basedOn w:val="Norml"/>
    <w:link w:val="TablazatChar"/>
    <w:rsid w:val="00B756E2"/>
    <w:pPr>
      <w:spacing w:before="0" w:after="0"/>
      <w:jc w:val="left"/>
    </w:pPr>
  </w:style>
  <w:style w:type="paragraph" w:customStyle="1" w:styleId="Jogsztablazatban">
    <w:name w:val="Jogsz_tablazatban"/>
    <w:basedOn w:val="Tablazat"/>
    <w:link w:val="JogsztablazatbanChar"/>
    <w:qFormat/>
    <w:rsid w:val="00B756E2"/>
    <w:pPr>
      <w:spacing w:before="120" w:after="120"/>
      <w:ind w:left="170"/>
    </w:pPr>
    <w:rPr>
      <w:i/>
    </w:rPr>
  </w:style>
  <w:style w:type="character" w:customStyle="1" w:styleId="TablazatChar">
    <w:name w:val="Tablazat Char"/>
    <w:basedOn w:val="Bekezdsalapbettpusa"/>
    <w:link w:val="Tablazat"/>
    <w:rsid w:val="00B756E2"/>
    <w:rPr>
      <w:rFonts w:ascii="Arial" w:eastAsia="Times New Roman" w:hAnsi="Arial" w:cs="Arial"/>
      <w:lang w:eastAsia="hu-HU"/>
    </w:rPr>
  </w:style>
  <w:style w:type="paragraph" w:customStyle="1" w:styleId="Tablazat2">
    <w:name w:val="Tablazat2"/>
    <w:basedOn w:val="Tablazat"/>
    <w:link w:val="Tablazat2Char"/>
    <w:qFormat/>
    <w:rsid w:val="00B756E2"/>
  </w:style>
  <w:style w:type="character" w:customStyle="1" w:styleId="JogsztablazatbanChar">
    <w:name w:val="Jogsz_tablazatban Char"/>
    <w:basedOn w:val="TablazatChar"/>
    <w:link w:val="Jogsztablazatban"/>
    <w:rsid w:val="00B756E2"/>
    <w:rPr>
      <w:rFonts w:ascii="Arial" w:eastAsia="Times New Roman" w:hAnsi="Arial" w:cs="Arial"/>
      <w:i/>
      <w:lang w:eastAsia="hu-HU"/>
    </w:rPr>
  </w:style>
  <w:style w:type="character" w:customStyle="1" w:styleId="Tablazat2Char">
    <w:name w:val="Tablazat2 Char"/>
    <w:basedOn w:val="TablazatChar"/>
    <w:link w:val="Tablazat2"/>
    <w:rsid w:val="00B756E2"/>
    <w:rPr>
      <w:rFonts w:ascii="Arial" w:eastAsia="Times New Roman" w:hAnsi="Arial" w:cs="Arial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756E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56E2"/>
    <w:rPr>
      <w:rFonts w:ascii="Tahoma" w:eastAsia="Times New Roman" w:hAnsi="Tahoma" w:cs="Tahoma"/>
      <w:sz w:val="16"/>
      <w:szCs w:val="1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B756E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B756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character" w:styleId="Jegyzethivatkozs">
    <w:name w:val="annotation reference"/>
    <w:rsid w:val="00EE5293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E5293"/>
    <w:pPr>
      <w:keepLines/>
      <w:suppressAutoHyphens/>
      <w:spacing w:before="60" w:after="6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JegyzetszvegChar">
    <w:name w:val="Jegyzetszöveg Char"/>
    <w:basedOn w:val="Bekezdsalapbettpusa"/>
    <w:link w:val="Jegyzetszveg"/>
    <w:rsid w:val="00EE529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A7F9D75069BC441B0F424683BCA47EC" ma:contentTypeVersion="" ma:contentTypeDescription="Új dokumentum létrehozása." ma:contentTypeScope="" ma:versionID="dd7d2e3e26fdd3c7d70558676c9abd36">
  <xsd:schema xmlns:xsd="http://www.w3.org/2001/XMLSchema" xmlns:xs="http://www.w3.org/2001/XMLSchema" xmlns:p="http://schemas.microsoft.com/office/2006/metadata/properties" xmlns:ns2="eff08c82-ce1c-49bc-a1d0-41eac7de1a3e" xmlns:ns3="http://schemas.microsoft.com/sharepoint/v3/fields" targetNamespace="http://schemas.microsoft.com/office/2006/metadata/properties" ma:root="true" ma:fieldsID="b4f0753d5b7d8c060bbd477040b26ab0" ns2:_="" ns3:_="">
    <xsd:import namespace="eff08c82-ce1c-49bc-a1d0-41eac7de1a3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Titokgazda" minOccurs="0"/>
                <xsd:element ref="ns2:Titokkorlát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08c82-ce1c-49bc-a1d0-41eac7de1a3e" elementFormDefault="qualified">
    <xsd:import namespace="http://schemas.microsoft.com/office/2006/documentManagement/types"/>
    <xsd:import namespace="http://schemas.microsoft.com/office/infopath/2007/PartnerControls"/>
    <xsd:element name="Titokgazda" ma:index="8" nillable="true" ma:displayName="Titokgazda" ma:internalName="Titokgazda">
      <xsd:simpleType>
        <xsd:restriction base="dms:Text">
          <xsd:maxLength value="255"/>
        </xsd:restriction>
      </xsd:simpleType>
    </xsd:element>
    <xsd:element name="Titokkorlát" ma:index="9" nillable="true" ma:displayName="Titokkorlát" ma:internalName="Titokkorl_x00e1_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Létrehozás dátuma" ma:description="Az erőforrás létrehozásának dátuma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okgazda xmlns="eff08c82-ce1c-49bc-a1d0-41eac7de1a3e" xsi:nil="true"/>
    <Titokkorlát xmlns="eff08c82-ce1c-49bc-a1d0-41eac7de1a3e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BA19DE73-756A-4422-8468-53F973DF3F9D}"/>
</file>

<file path=customXml/itemProps2.xml><?xml version="1.0" encoding="utf-8"?>
<ds:datastoreItem xmlns:ds="http://schemas.openxmlformats.org/officeDocument/2006/customXml" ds:itemID="{3DA1D272-B4C3-4EBE-9FF0-67A6F707C7E3}"/>
</file>

<file path=customXml/itemProps3.xml><?xml version="1.0" encoding="utf-8"?>
<ds:datastoreItem xmlns:ds="http://schemas.openxmlformats.org/officeDocument/2006/customXml" ds:itemID="{895328CD-1B7D-4FF4-9572-A87B827C10A0}"/>
</file>

<file path=customXml/itemProps4.xml><?xml version="1.0" encoding="utf-8"?>
<ds:datastoreItem xmlns:ds="http://schemas.openxmlformats.org/officeDocument/2006/customXml" ds:itemID="{A7CE7D3C-7EA7-4CF7-9782-11701568EF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725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2014-12-01T12:26:00Z</dcterms:created>
  <dcterms:modified xsi:type="dcterms:W3CDTF">2014-12-01T12:34:00Z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0x010100DA7F9D75069BC441B0F424683BCA47EC</vt:lpwstr>
  </property>
</Properties>
</file>