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9A" w:rsidRDefault="0050259A" w:rsidP="0050259A">
      <w:pPr>
        <w:pStyle w:val="lfej"/>
        <w:tabs>
          <w:tab w:val="left" w:pos="2386"/>
        </w:tabs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-300355</wp:posOffset>
            </wp:positionV>
            <wp:extent cx="1685290" cy="655320"/>
            <wp:effectExtent l="0" t="0" r="0" b="0"/>
            <wp:wrapTight wrapText="bothSides">
              <wp:wrapPolygon edited="0">
                <wp:start x="0" y="0"/>
                <wp:lineTo x="0" y="20721"/>
                <wp:lineTo x="21242" y="20721"/>
                <wp:lineTo x="21242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-184150</wp:posOffset>
            </wp:positionV>
            <wp:extent cx="627380" cy="608330"/>
            <wp:effectExtent l="0" t="0" r="0" b="0"/>
            <wp:wrapThrough wrapText="bothSides">
              <wp:wrapPolygon edited="0">
                <wp:start x="2623" y="2706"/>
                <wp:lineTo x="1312" y="10146"/>
                <wp:lineTo x="1312" y="14881"/>
                <wp:lineTo x="2623" y="17587"/>
                <wp:lineTo x="19676" y="17587"/>
                <wp:lineTo x="19020" y="5411"/>
                <wp:lineTo x="18364" y="2706"/>
                <wp:lineTo x="2623" y="2706"/>
              </wp:wrapPolygon>
            </wp:wrapThrough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4483735</wp:posOffset>
            </wp:positionH>
            <wp:positionV relativeFrom="paragraph">
              <wp:posOffset>-252095</wp:posOffset>
            </wp:positionV>
            <wp:extent cx="1753235" cy="610235"/>
            <wp:effectExtent l="0" t="0" r="0" b="0"/>
            <wp:wrapThrough wrapText="bothSides">
              <wp:wrapPolygon edited="0">
                <wp:start x="0" y="0"/>
                <wp:lineTo x="0" y="20903"/>
                <wp:lineTo x="21357" y="20903"/>
                <wp:lineTo x="21357" y="0"/>
                <wp:lineTo x="0" y="0"/>
              </wp:wrapPolygon>
            </wp:wrapThrough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59A" w:rsidRDefault="0050259A" w:rsidP="0050259A">
      <w:pPr>
        <w:keepNext/>
        <w:keepLines/>
        <w:spacing w:before="240" w:after="120"/>
        <w:jc w:val="both"/>
        <w:outlineLvl w:val="0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50259A" w:rsidRDefault="0050259A" w:rsidP="0050259A">
      <w:pPr>
        <w:pStyle w:val="Nincstrkz"/>
        <w:rPr>
          <w:lang w:eastAsia="hu-HU"/>
        </w:rPr>
      </w:pPr>
    </w:p>
    <w:p w:rsidR="0050259A" w:rsidRPr="0050259A" w:rsidRDefault="0050259A" w:rsidP="0050259A">
      <w:pPr>
        <w:keepNext/>
        <w:keepLines/>
        <w:spacing w:before="40" w:after="0" w:line="259" w:lineRule="auto"/>
        <w:outlineLvl w:val="1"/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  <w:lang w:eastAsia="hu-HU"/>
        </w:rPr>
      </w:pPr>
      <w:r w:rsidRPr="0050259A"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  <w:lang w:eastAsia="hu-HU"/>
        </w:rPr>
        <w:t xml:space="preserve">Az egyes </w:t>
      </w:r>
      <w:r w:rsidRPr="0050259A"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  <w:lang w:eastAsia="hu-HU"/>
        </w:rPr>
        <w:t xml:space="preserve">Önkormányzati ASP </w:t>
      </w:r>
      <w:r w:rsidRPr="0050259A"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  <w:lang w:eastAsia="hu-HU"/>
        </w:rPr>
        <w:t>rendszerek szolgáltatás-katalógusa</w:t>
      </w:r>
    </w:p>
    <w:p w:rsidR="0050259A" w:rsidRDefault="0050259A" w:rsidP="0050259A">
      <w:pPr>
        <w:keepNext/>
        <w:keepLines/>
        <w:spacing w:before="240" w:after="120"/>
        <w:jc w:val="both"/>
        <w:outlineLvl w:val="0"/>
        <w:rPr>
          <w:rFonts w:ascii="Times New Roman" w:eastAsia="Times New Roman" w:hAnsi="Times New Roman" w:cs="Times New Roman"/>
          <w:bCs/>
          <w:lang w:eastAsia="hu-HU"/>
        </w:rPr>
      </w:pPr>
      <w:r w:rsidRPr="0050259A">
        <w:rPr>
          <w:rFonts w:ascii="Times New Roman" w:eastAsia="Times New Roman" w:hAnsi="Times New Roman" w:cs="Times New Roman"/>
          <w:bCs/>
          <w:lang w:eastAsia="hu-HU"/>
        </w:rPr>
        <w:t>Az alábbi táblázat bemutatja, hogy az önkormányzati ASP által biztosított rendszerek milyen szolgáltatásokat nyújtanak, milyen önkormányzati feladatokat, folyamatokat támogatnak</w:t>
      </w:r>
    </w:p>
    <w:p w:rsidR="0050259A" w:rsidRDefault="0050259A" w:rsidP="0050259A">
      <w:pPr>
        <w:keepNext/>
        <w:keepLines/>
        <w:numPr>
          <w:ilvl w:val="3"/>
          <w:numId w:val="3"/>
        </w:numPr>
        <w:spacing w:before="480" w:after="0"/>
        <w:ind w:left="426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</w:pPr>
      <w:r w:rsidRPr="0050259A"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  <w:t>Gazdálkodási szakrendszer szolgáltatáskatalógusa</w:t>
      </w:r>
    </w:p>
    <w:p w:rsidR="0050259A" w:rsidRPr="0050259A" w:rsidRDefault="0050259A" w:rsidP="0050259A">
      <w:pPr>
        <w:pStyle w:val="Nincstrkz"/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58"/>
        <w:gridCol w:w="7106"/>
      </w:tblGrid>
      <w:tr w:rsidR="0050259A" w:rsidRPr="0050259A" w:rsidTr="0050259A">
        <w:trPr>
          <w:cantSplit/>
          <w:trHeight w:val="1019"/>
          <w:jc w:val="center"/>
        </w:trPr>
        <w:tc>
          <w:tcPr>
            <w:tcW w:w="282" w:type="pct"/>
            <w:shd w:val="clear" w:color="auto" w:fill="B8CCE4"/>
            <w:vAlign w:val="center"/>
            <w:hideMark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85" w:type="pct"/>
            <w:shd w:val="clear" w:color="auto" w:fill="B8CCE4"/>
            <w:vAlign w:val="center"/>
            <w:hideMark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Rövid összefoglaló</w:t>
            </w:r>
          </w:p>
        </w:tc>
        <w:tc>
          <w:tcPr>
            <w:tcW w:w="3933" w:type="pct"/>
            <w:shd w:val="clear" w:color="auto" w:fill="B8CCE4"/>
            <w:vAlign w:val="center"/>
            <w:hideMark/>
          </w:tcPr>
          <w:p w:rsidR="0050259A" w:rsidRPr="0050259A" w:rsidRDefault="0050259A" w:rsidP="00ED756D">
            <w:pPr>
              <w:spacing w:before="120" w:after="120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Az önkormányzati gazdálkodási szakrendszer feladata az államháztartás szervezeteinek pénzügyi és számviteli feladatainak ellátása, a jogszabályokban előírt adatszolgáltatási kötelezettségek ellátásának biztosítása.</w:t>
            </w:r>
          </w:p>
          <w:p w:rsidR="0050259A" w:rsidRPr="0050259A" w:rsidRDefault="0050259A" w:rsidP="00ED756D">
            <w:pPr>
              <w:spacing w:before="120" w:after="120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Az önkormányzati gazdálkodási szakrendszer könnyen kezelhető, felhasználóbarát rendszer, lehetőséget biztosít a megfelelő jogokkal rendelkező önkormányzati felhasználók számára, hogy a pénzügyi-számviteli feladataikat, adatszolgáltatási kötelezettségüket ellássák.</w:t>
            </w:r>
          </w:p>
          <w:p w:rsidR="0050259A" w:rsidRPr="0050259A" w:rsidRDefault="0050259A" w:rsidP="00ED756D">
            <w:pPr>
              <w:spacing w:before="120" w:after="0"/>
              <w:ind w:left="142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50259A">
              <w:rPr>
                <w:rFonts w:ascii="Times New Roman" w:eastAsia="Calibri" w:hAnsi="Times New Roman" w:cs="Times New Roman"/>
                <w:lang w:eastAsia="hu-HU"/>
              </w:rPr>
              <w:t xml:space="preserve">Az integrált számítógépes rendszer egyszeres adatbevitel útján biztosítja, hogy a gazdasági esemény hatása egyszerre jelenjen meg mind a könyvviteli számlákon, mind a kapcsolódó analitikus nyilvántartásokon, költségvetési és pénzügyi számvitel során vezetett nyilvántartási számlákon. </w:t>
            </w:r>
          </w:p>
        </w:tc>
      </w:tr>
      <w:tr w:rsidR="0050259A" w:rsidRPr="0050259A" w:rsidTr="0050259A">
        <w:trPr>
          <w:cantSplit/>
          <w:trHeight w:val="516"/>
          <w:jc w:val="center"/>
        </w:trPr>
        <w:tc>
          <w:tcPr>
            <w:tcW w:w="282" w:type="pct"/>
            <w:shd w:val="clear" w:color="auto" w:fill="DBE5F1"/>
            <w:vAlign w:val="center"/>
            <w:hideMark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85" w:type="pct"/>
            <w:shd w:val="clear" w:color="auto" w:fill="DBE5F1"/>
            <w:vAlign w:val="center"/>
            <w:hideMark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A szolgáltatás részei</w:t>
            </w:r>
          </w:p>
        </w:tc>
        <w:tc>
          <w:tcPr>
            <w:tcW w:w="3933" w:type="pct"/>
            <w:shd w:val="clear" w:color="auto" w:fill="DBE5F1"/>
            <w:vAlign w:val="center"/>
            <w:hideMark/>
          </w:tcPr>
          <w:p w:rsidR="0050259A" w:rsidRPr="0050259A" w:rsidRDefault="0050259A" w:rsidP="00ED756D">
            <w:pPr>
              <w:widowControl w:val="0"/>
              <w:suppressAutoHyphens/>
              <w:autoSpaceDN w:val="0"/>
              <w:spacing w:after="0"/>
              <w:ind w:left="14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0259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A pályázatban szereplő önkormányzati gazdálkodási szakrendszer alapvető elemei, jellemzői a következők:</w:t>
            </w:r>
          </w:p>
          <w:p w:rsidR="0050259A" w:rsidRPr="0050259A" w:rsidRDefault="0050259A" w:rsidP="00ED756D">
            <w:pPr>
              <w:widowControl w:val="0"/>
              <w:suppressAutoHyphens/>
              <w:autoSpaceDN w:val="0"/>
              <w:spacing w:after="0"/>
              <w:ind w:left="14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0259A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KASZPER</w:t>
            </w:r>
            <w:r w:rsidRPr="0050259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(Központi </w:t>
            </w:r>
            <w:proofErr w:type="spellStart"/>
            <w:r w:rsidRPr="0050259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Adatnyilvántartási</w:t>
            </w:r>
            <w:proofErr w:type="spellEnd"/>
            <w:r w:rsidRPr="0050259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Számviteli, Pénzügyi Ellenőrzési Rendszer)</w:t>
            </w:r>
          </w:p>
          <w:p w:rsidR="0050259A" w:rsidRPr="0050259A" w:rsidRDefault="0050259A" w:rsidP="00ED756D">
            <w:pPr>
              <w:widowControl w:val="0"/>
              <w:suppressAutoHyphens/>
              <w:autoSpaceDN w:val="0"/>
              <w:spacing w:after="0"/>
              <w:ind w:left="14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0259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Teljes körű pénzügyi és számviteli rendszer. Alkalmas minden pénzforgalmi művelet elvégzésére, banki műveletek elvégzésére.</w:t>
            </w:r>
          </w:p>
          <w:p w:rsidR="0050259A" w:rsidRPr="0050259A" w:rsidRDefault="0050259A" w:rsidP="00ED756D">
            <w:pPr>
              <w:widowControl w:val="0"/>
              <w:suppressAutoHyphens/>
              <w:autoSpaceDN w:val="0"/>
              <w:spacing w:after="0"/>
              <w:ind w:left="14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50259A" w:rsidRPr="0050259A" w:rsidRDefault="0050259A" w:rsidP="00ED756D">
            <w:pPr>
              <w:widowControl w:val="0"/>
              <w:suppressAutoHyphens/>
              <w:autoSpaceDN w:val="0"/>
              <w:spacing w:after="0"/>
              <w:ind w:left="14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0259A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ETRIUSZ</w:t>
            </w:r>
            <w:r w:rsidRPr="0050259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(előirányzat tervező modul)</w:t>
            </w:r>
          </w:p>
          <w:p w:rsidR="0050259A" w:rsidRPr="0050259A" w:rsidRDefault="0050259A" w:rsidP="00ED756D">
            <w:pPr>
              <w:widowControl w:val="0"/>
              <w:suppressAutoHyphens/>
              <w:autoSpaceDN w:val="0"/>
              <w:spacing w:after="0"/>
              <w:ind w:left="14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0259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Előirányzat tervezés: normatív tervezés, költségvetési keretszámok összeállítása, elemi költségvetés elkészítése.</w:t>
            </w:r>
          </w:p>
          <w:p w:rsidR="0050259A" w:rsidRPr="0050259A" w:rsidRDefault="0050259A" w:rsidP="00ED756D">
            <w:pPr>
              <w:widowControl w:val="0"/>
              <w:suppressAutoHyphens/>
              <w:autoSpaceDN w:val="0"/>
              <w:spacing w:after="0"/>
              <w:ind w:left="14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50259A" w:rsidRPr="0050259A" w:rsidRDefault="0050259A" w:rsidP="00ED756D">
            <w:pPr>
              <w:widowControl w:val="0"/>
              <w:suppressAutoHyphens/>
              <w:autoSpaceDN w:val="0"/>
              <w:spacing w:after="0"/>
              <w:ind w:left="14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0259A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KATI </w:t>
            </w:r>
            <w:r w:rsidRPr="0050259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(Központi Adatnyilvántartó és Tárgyi eszköz Információs rendszer)</w:t>
            </w:r>
          </w:p>
          <w:p w:rsidR="0050259A" w:rsidRPr="0050259A" w:rsidRDefault="0050259A" w:rsidP="00ED756D">
            <w:pPr>
              <w:widowControl w:val="0"/>
              <w:suppressAutoHyphens/>
              <w:autoSpaceDN w:val="0"/>
              <w:spacing w:after="0"/>
              <w:ind w:left="14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0259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A modul feladata a nagy értékű és kis értékű tárgyi eszközök nyilvántartása, eszköz mozgások kezelése, értékcsökkenés számítása, könyvelési adatok átadása a KASZPER rendszernek.</w:t>
            </w:r>
          </w:p>
          <w:p w:rsidR="0050259A" w:rsidRPr="0050259A" w:rsidRDefault="0050259A" w:rsidP="00ED756D">
            <w:pPr>
              <w:widowControl w:val="0"/>
              <w:suppressAutoHyphens/>
              <w:autoSpaceDN w:val="0"/>
              <w:spacing w:after="0"/>
              <w:ind w:left="14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50259A" w:rsidRPr="0050259A" w:rsidRDefault="0050259A" w:rsidP="00ED756D">
            <w:pPr>
              <w:widowControl w:val="0"/>
              <w:suppressAutoHyphens/>
              <w:autoSpaceDN w:val="0"/>
              <w:spacing w:after="0"/>
              <w:ind w:left="14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0259A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VIR </w:t>
            </w:r>
            <w:r w:rsidRPr="0050259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(Vezetői információs rendszer)</w:t>
            </w:r>
          </w:p>
          <w:p w:rsidR="0050259A" w:rsidRPr="0050259A" w:rsidRDefault="0050259A" w:rsidP="00ED756D">
            <w:pPr>
              <w:widowControl w:val="0"/>
              <w:suppressAutoHyphens/>
              <w:autoSpaceDN w:val="0"/>
              <w:spacing w:after="0"/>
              <w:ind w:left="142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0259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Felső vezetőknek az aktuális pénzügyi folyamatokról átfogó képet adó rendszerkomponens, mely magában foglalja az eredeti, a módosított és a teljesített előirányzatok alakulását. Az aktuális és a múltbeli állapotokról részletes pénzügyi mutatók készíthetőek. A rendszerből az adatok </w:t>
            </w:r>
            <w:proofErr w:type="spellStart"/>
            <w:r w:rsidRPr="0050259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LibreOffice</w:t>
            </w:r>
            <w:proofErr w:type="spellEnd"/>
            <w:r w:rsidRPr="0050259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és </w:t>
            </w:r>
            <w:proofErr w:type="spellStart"/>
            <w:r w:rsidRPr="0050259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MSOffice</w:t>
            </w:r>
            <w:proofErr w:type="spellEnd"/>
            <w:r w:rsidRPr="0050259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formátumban nyerhetőek ki, szemléletes diagramokkal és részletes számokkal alátámasztva.</w:t>
            </w:r>
          </w:p>
        </w:tc>
      </w:tr>
    </w:tbl>
    <w:p w:rsidR="0050259A" w:rsidRDefault="0050259A" w:rsidP="0050259A">
      <w:pPr>
        <w:keepNext/>
        <w:keepLines/>
        <w:spacing w:before="480" w:after="0"/>
        <w:ind w:left="426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</w:pPr>
    </w:p>
    <w:p w:rsidR="0050259A" w:rsidRDefault="0050259A" w:rsidP="0050259A">
      <w:pPr>
        <w:keepNext/>
        <w:keepLines/>
        <w:numPr>
          <w:ilvl w:val="3"/>
          <w:numId w:val="3"/>
        </w:numPr>
        <w:spacing w:before="480" w:after="0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</w:pPr>
      <w:r w:rsidRPr="0050259A"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  <w:t>Adó szakrendszer szolgáltatáskatalógusa</w:t>
      </w:r>
    </w:p>
    <w:p w:rsidR="0050259A" w:rsidRPr="0050259A" w:rsidRDefault="0050259A" w:rsidP="0050259A">
      <w:pPr>
        <w:pStyle w:val="Nincstrkz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458"/>
        <w:gridCol w:w="7306"/>
      </w:tblGrid>
      <w:tr w:rsidR="0050259A" w:rsidRPr="0050259A" w:rsidTr="0050259A">
        <w:trPr>
          <w:cantSplit/>
          <w:trHeight w:val="1270"/>
          <w:jc w:val="center"/>
        </w:trPr>
        <w:tc>
          <w:tcPr>
            <w:tcW w:w="282" w:type="pct"/>
            <w:shd w:val="clear" w:color="auto" w:fill="B8CCE4"/>
            <w:vAlign w:val="center"/>
            <w:hideMark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85" w:type="pct"/>
            <w:shd w:val="clear" w:color="auto" w:fill="B8CCE4"/>
            <w:vAlign w:val="center"/>
            <w:hideMark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Rövid összefoglaló</w:t>
            </w:r>
          </w:p>
        </w:tc>
        <w:tc>
          <w:tcPr>
            <w:tcW w:w="3934" w:type="pct"/>
            <w:shd w:val="clear" w:color="auto" w:fill="B8CCE4"/>
            <w:vAlign w:val="center"/>
            <w:hideMark/>
          </w:tcPr>
          <w:p w:rsidR="0050259A" w:rsidRPr="0050259A" w:rsidRDefault="0050259A" w:rsidP="00ED756D">
            <w:pPr>
              <w:spacing w:before="120" w:after="120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Az adóügyi szakrendszer feladata, hogy biztosítsa a települési (helyi) önkormányzatok hatáskörébe tartozó központi és helyi adók, az adók módjára behajtandó köztartozások, díjak, valamint pótlékok, bírságok, továbbá a közigazgatás hatósági eljárási illeték elszámolását, kezelését, tegye lehetővé az adókötelezettségek teljesítésével kapcsolatos ügyek elektronikus úton történő intézését.</w:t>
            </w:r>
          </w:p>
        </w:tc>
      </w:tr>
      <w:tr w:rsidR="0050259A" w:rsidRPr="0050259A" w:rsidTr="0050259A">
        <w:trPr>
          <w:cantSplit/>
          <w:trHeight w:val="544"/>
          <w:jc w:val="center"/>
        </w:trPr>
        <w:tc>
          <w:tcPr>
            <w:tcW w:w="282" w:type="pct"/>
            <w:shd w:val="clear" w:color="auto" w:fill="DBE5F1"/>
            <w:vAlign w:val="center"/>
            <w:hideMark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85" w:type="pct"/>
            <w:shd w:val="clear" w:color="auto" w:fill="DBE5F1"/>
            <w:vAlign w:val="center"/>
            <w:hideMark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A szolgáltatás részei</w:t>
            </w:r>
          </w:p>
        </w:tc>
        <w:tc>
          <w:tcPr>
            <w:tcW w:w="3934" w:type="pct"/>
            <w:shd w:val="clear" w:color="auto" w:fill="DBE5F1"/>
            <w:vAlign w:val="center"/>
            <w:hideMark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</w:rPr>
              <w:t>A hatósági tevékenység támogatására a jogszabályi előírásoknak megfelelő adatfeldolgozást, nyilvántartást biztosít a rendszer az elévülési időn belül az érintett adónemekre.</w:t>
            </w:r>
          </w:p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</w:rPr>
              <w:t>Vezeti a települési önkormányzat hatáskörébe tartozó adók és adók módjára behajtandó köztartozások nyilvántartásáról, kezeléséről és elszámolásáról szóló miniszteri rendeletben meghatározott nyilvántartásokat.</w:t>
            </w:r>
          </w:p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</w:rPr>
              <w:t>A hatósági feladatok ellátásához kapcsolódó ügyiratok előállítását iratsablonok felhasználásával segíti – egyedi és „tömeges” jelleggel, valamint támogatja a kapcsolódó postázási és érkeztetési feladatokat is.</w:t>
            </w:r>
          </w:p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Biztosítja az adózáshoz kapcsolódó pénzügyi-számviteli feladatok ellátását a pénzforgalom feldolgozásától, az adózói folyószámla kezelésen át a különböző – pl. a gazdálkodási rendszer, a Magyar Államkincstár felé történő - adatszolgáltatásokig. </w:t>
            </w:r>
          </w:p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A rendszer része az elektronikus ügyintézés támogatása, egyenlegek lekérdezése, ügyiratok fogadása, elektronikus bevallások, bejelentések feldolgozása mind a lakosság, mind a vállalkozók részéről. (Az elektronikus bevallások, bejelentések fogadásának támogatása 2017. év során, legkésőbb az Irat szakrendszer indításával egyidejűleg lesz elérhető.) Elektronikus ügyintézésre akkor van lehetőség, ha azt az Önkormányzat rendeletében, a jogszabályi keretszabályoknak megfelelően bevezette, illetve az adott ügytípus vonatkozásában lehetőséget adott rá. </w:t>
            </w:r>
          </w:p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Kezeli külső adatkapcsolatokat, ideértve a Magyar Államkincstár felé teljesítendő adatszolgáltatásokat, a KEK KH gépjármű adatállományok betöltését, a NAV kapcsolatok közül az adóazonosító jel nélküli természetes személyek leválogatását és az </w:t>
            </w:r>
            <w:proofErr w:type="spellStart"/>
            <w:r w:rsidRPr="0050259A">
              <w:rPr>
                <w:rFonts w:ascii="Times New Roman" w:eastAsia="Times New Roman" w:hAnsi="Times New Roman" w:cs="Times New Roman"/>
                <w:iCs/>
                <w:color w:val="000000"/>
              </w:rPr>
              <w:t>adóvisszatartási</w:t>
            </w:r>
            <w:proofErr w:type="spellEnd"/>
            <w:r w:rsidRPr="0050259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jog gyakorlásához szükséges elektronikus állomány előállítását, valamint az elektronikus csekk állományok (PEK) betöltését.</w:t>
            </w:r>
          </w:p>
        </w:tc>
      </w:tr>
    </w:tbl>
    <w:p w:rsidR="0050259A" w:rsidRDefault="0050259A" w:rsidP="0050259A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</w:pPr>
    </w:p>
    <w:p w:rsidR="0050259A" w:rsidRDefault="0050259A">
      <w:pPr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  <w:br w:type="page"/>
      </w:r>
    </w:p>
    <w:p w:rsidR="0050259A" w:rsidRPr="0050259A" w:rsidRDefault="0050259A" w:rsidP="0050259A">
      <w:pPr>
        <w:keepNext/>
        <w:keepLines/>
        <w:numPr>
          <w:ilvl w:val="3"/>
          <w:numId w:val="3"/>
        </w:numPr>
        <w:spacing w:before="480" w:after="0"/>
        <w:ind w:left="426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</w:pPr>
      <w:r w:rsidRPr="0050259A"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  <w:lastRenderedPageBreak/>
        <w:t>Iratkezelő szakrendszer szolgáltatáskatalógusa</w:t>
      </w:r>
    </w:p>
    <w:p w:rsidR="0050259A" w:rsidRPr="0050259A" w:rsidRDefault="0050259A" w:rsidP="0050259A">
      <w:pPr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58"/>
        <w:gridCol w:w="7307"/>
      </w:tblGrid>
      <w:tr w:rsidR="0050259A" w:rsidRPr="0050259A" w:rsidTr="00ED756D">
        <w:trPr>
          <w:cantSplit/>
          <w:trHeight w:val="228"/>
          <w:jc w:val="center"/>
        </w:trPr>
        <w:tc>
          <w:tcPr>
            <w:tcW w:w="5000" w:type="pct"/>
            <w:gridSpan w:val="3"/>
            <w:shd w:val="clear" w:color="auto" w:fill="DBE5F1"/>
            <w:vAlign w:val="center"/>
            <w:hideMark/>
          </w:tcPr>
          <w:p w:rsidR="0050259A" w:rsidRPr="0050259A" w:rsidRDefault="0050259A" w:rsidP="00ED756D">
            <w:pPr>
              <w:keepNext/>
              <w:spacing w:before="100" w:beforeAutospacing="1" w:afterAutospacing="1"/>
              <w:ind w:left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59A">
              <w:rPr>
                <w:rFonts w:ascii="Times New Roman" w:eastAsia="Times New Roman" w:hAnsi="Times New Roman" w:cs="Times New Roman"/>
                <w:b/>
              </w:rPr>
              <w:t>Alkalmazás-üzemeltetés, támogatás-szolgáltatás</w:t>
            </w:r>
          </w:p>
        </w:tc>
      </w:tr>
      <w:tr w:rsidR="0050259A" w:rsidRPr="0050259A" w:rsidTr="00ED756D">
        <w:trPr>
          <w:cantSplit/>
          <w:trHeight w:val="1076"/>
          <w:jc w:val="center"/>
        </w:trPr>
        <w:tc>
          <w:tcPr>
            <w:tcW w:w="207" w:type="pct"/>
            <w:shd w:val="clear" w:color="auto" w:fill="B8CCE4"/>
            <w:vAlign w:val="center"/>
            <w:hideMark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16" w:type="pct"/>
            <w:shd w:val="clear" w:color="auto" w:fill="B8CCE4"/>
            <w:vAlign w:val="center"/>
            <w:hideMark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Rövid összefoglaló</w:t>
            </w:r>
          </w:p>
        </w:tc>
        <w:tc>
          <w:tcPr>
            <w:tcW w:w="3977" w:type="pct"/>
            <w:shd w:val="clear" w:color="auto" w:fill="B8CCE4"/>
            <w:vAlign w:val="center"/>
            <w:hideMark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</w:rPr>
              <w:t>Az Iratkezelő rendszer feladata az önkormányzati iratkezelési és általános ügyintézési tevékenységek támogatása, a vonatkozó jogszabályokban előírt funkcionalitás biztosításával.</w:t>
            </w:r>
          </w:p>
          <w:p w:rsidR="0050259A" w:rsidRPr="0050259A" w:rsidRDefault="0050259A" w:rsidP="00ED756D">
            <w:pPr>
              <w:spacing w:before="120" w:after="120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bevezetésre kerülő rendszer megfelel a közfeladatot ellátó szerveknél alkalmazható iratkezelési szoftverekkel szemben támasztott követelményekről szóló 27/2014. (IV. 18.) KIM rendeletben foglalt előírásoknak.</w:t>
            </w:r>
          </w:p>
        </w:tc>
      </w:tr>
      <w:tr w:rsidR="0050259A" w:rsidRPr="0050259A" w:rsidTr="00ED756D">
        <w:trPr>
          <w:cantSplit/>
          <w:trHeight w:val="544"/>
          <w:jc w:val="center"/>
        </w:trPr>
        <w:tc>
          <w:tcPr>
            <w:tcW w:w="207" w:type="pct"/>
            <w:shd w:val="clear" w:color="auto" w:fill="DBE5F1"/>
            <w:vAlign w:val="center"/>
            <w:hideMark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16" w:type="pct"/>
            <w:shd w:val="clear" w:color="auto" w:fill="DBE5F1"/>
            <w:vAlign w:val="center"/>
            <w:hideMark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A szolgáltatás részei</w:t>
            </w:r>
          </w:p>
        </w:tc>
        <w:tc>
          <w:tcPr>
            <w:tcW w:w="3977" w:type="pct"/>
            <w:shd w:val="clear" w:color="auto" w:fill="DBE5F1"/>
            <w:vAlign w:val="center"/>
            <w:hideMark/>
          </w:tcPr>
          <w:p w:rsidR="0050259A" w:rsidRPr="0050259A" w:rsidRDefault="0050259A" w:rsidP="00ED756D">
            <w:pPr>
              <w:numPr>
                <w:ilvl w:val="0"/>
                <w:numId w:val="2"/>
              </w:numPr>
              <w:spacing w:before="120" w:after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259A">
              <w:rPr>
                <w:rFonts w:ascii="Times New Roman" w:eastAsia="Calibri" w:hAnsi="Times New Roman" w:cs="Times New Roman"/>
                <w:bCs/>
              </w:rPr>
              <w:t>Küldemények átvétele</w:t>
            </w:r>
          </w:p>
          <w:p w:rsidR="0050259A" w:rsidRPr="0050259A" w:rsidRDefault="0050259A" w:rsidP="00ED756D">
            <w:pPr>
              <w:numPr>
                <w:ilvl w:val="0"/>
                <w:numId w:val="2"/>
              </w:numPr>
              <w:spacing w:before="120" w:after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259A">
              <w:rPr>
                <w:rFonts w:ascii="Times New Roman" w:eastAsia="Calibri" w:hAnsi="Times New Roman" w:cs="Times New Roman"/>
                <w:bCs/>
              </w:rPr>
              <w:t>Érkeztetés</w:t>
            </w:r>
          </w:p>
          <w:p w:rsidR="0050259A" w:rsidRPr="0050259A" w:rsidRDefault="0050259A" w:rsidP="00ED756D">
            <w:pPr>
              <w:numPr>
                <w:ilvl w:val="0"/>
                <w:numId w:val="2"/>
              </w:numPr>
              <w:spacing w:before="120" w:after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259A">
              <w:rPr>
                <w:rFonts w:ascii="Times New Roman" w:eastAsia="Calibri" w:hAnsi="Times New Roman" w:cs="Times New Roman"/>
                <w:bCs/>
              </w:rPr>
              <w:t>Felbontás</w:t>
            </w:r>
          </w:p>
          <w:p w:rsidR="0050259A" w:rsidRPr="0050259A" w:rsidRDefault="0050259A" w:rsidP="00ED756D">
            <w:pPr>
              <w:numPr>
                <w:ilvl w:val="0"/>
                <w:numId w:val="2"/>
              </w:numPr>
              <w:spacing w:before="120" w:after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259A">
              <w:rPr>
                <w:rFonts w:ascii="Times New Roman" w:eastAsia="Calibri" w:hAnsi="Times New Roman" w:cs="Times New Roman"/>
                <w:bCs/>
              </w:rPr>
              <w:t>Szignálás</w:t>
            </w:r>
          </w:p>
          <w:p w:rsidR="0050259A" w:rsidRPr="0050259A" w:rsidRDefault="0050259A" w:rsidP="00ED756D">
            <w:pPr>
              <w:numPr>
                <w:ilvl w:val="0"/>
                <w:numId w:val="2"/>
              </w:numPr>
              <w:spacing w:before="120" w:after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259A">
              <w:rPr>
                <w:rFonts w:ascii="Times New Roman" w:eastAsia="Calibri" w:hAnsi="Times New Roman" w:cs="Times New Roman"/>
                <w:bCs/>
              </w:rPr>
              <w:t>Előzményezés</w:t>
            </w:r>
          </w:p>
          <w:p w:rsidR="0050259A" w:rsidRPr="0050259A" w:rsidRDefault="0050259A" w:rsidP="00ED756D">
            <w:pPr>
              <w:numPr>
                <w:ilvl w:val="0"/>
                <w:numId w:val="2"/>
              </w:numPr>
              <w:spacing w:before="120" w:after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259A">
              <w:rPr>
                <w:rFonts w:ascii="Times New Roman" w:eastAsia="Calibri" w:hAnsi="Times New Roman" w:cs="Times New Roman"/>
                <w:bCs/>
              </w:rPr>
              <w:t xml:space="preserve">Iktatás </w:t>
            </w:r>
          </w:p>
          <w:p w:rsidR="0050259A" w:rsidRPr="0050259A" w:rsidRDefault="0050259A" w:rsidP="00ED756D">
            <w:pPr>
              <w:numPr>
                <w:ilvl w:val="0"/>
                <w:numId w:val="2"/>
              </w:numPr>
              <w:spacing w:before="120" w:after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259A">
              <w:rPr>
                <w:rFonts w:ascii="Times New Roman" w:eastAsia="Calibri" w:hAnsi="Times New Roman" w:cs="Times New Roman"/>
                <w:bCs/>
              </w:rPr>
              <w:t>Kiadmányozás</w:t>
            </w:r>
          </w:p>
          <w:p w:rsidR="0050259A" w:rsidRPr="0050259A" w:rsidRDefault="0050259A" w:rsidP="00ED756D">
            <w:pPr>
              <w:numPr>
                <w:ilvl w:val="0"/>
                <w:numId w:val="2"/>
              </w:numPr>
              <w:spacing w:before="120" w:after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259A">
              <w:rPr>
                <w:rFonts w:ascii="Times New Roman" w:eastAsia="Calibri" w:hAnsi="Times New Roman" w:cs="Times New Roman"/>
                <w:bCs/>
              </w:rPr>
              <w:t>Expediálás</w:t>
            </w:r>
          </w:p>
          <w:p w:rsidR="0050259A" w:rsidRPr="0050259A" w:rsidRDefault="0050259A" w:rsidP="00ED756D">
            <w:pPr>
              <w:numPr>
                <w:ilvl w:val="0"/>
                <w:numId w:val="2"/>
              </w:numPr>
              <w:spacing w:before="120" w:after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259A">
              <w:rPr>
                <w:rFonts w:ascii="Times New Roman" w:eastAsia="Calibri" w:hAnsi="Times New Roman" w:cs="Times New Roman"/>
                <w:bCs/>
              </w:rPr>
              <w:t>Postázás</w:t>
            </w:r>
          </w:p>
          <w:p w:rsidR="0050259A" w:rsidRPr="0050259A" w:rsidRDefault="0050259A" w:rsidP="00ED756D">
            <w:pPr>
              <w:numPr>
                <w:ilvl w:val="0"/>
                <w:numId w:val="2"/>
              </w:numPr>
              <w:spacing w:before="120" w:after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50259A">
              <w:rPr>
                <w:rFonts w:ascii="Times New Roman" w:eastAsia="Calibri" w:hAnsi="Times New Roman" w:cs="Times New Roman"/>
                <w:bCs/>
              </w:rPr>
              <w:t>Irattározás</w:t>
            </w:r>
            <w:proofErr w:type="spellEnd"/>
          </w:p>
          <w:p w:rsidR="0050259A" w:rsidRPr="0050259A" w:rsidRDefault="0050259A" w:rsidP="00ED756D">
            <w:pPr>
              <w:numPr>
                <w:ilvl w:val="0"/>
                <w:numId w:val="2"/>
              </w:numPr>
              <w:spacing w:before="120" w:after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259A">
              <w:rPr>
                <w:rFonts w:ascii="Times New Roman" w:eastAsia="Calibri" w:hAnsi="Times New Roman" w:cs="Times New Roman"/>
                <w:bCs/>
              </w:rPr>
              <w:t>Selejtezés</w:t>
            </w:r>
          </w:p>
          <w:p w:rsidR="0050259A" w:rsidRPr="0050259A" w:rsidRDefault="0050259A" w:rsidP="00ED756D">
            <w:pPr>
              <w:numPr>
                <w:ilvl w:val="0"/>
                <w:numId w:val="2"/>
              </w:numPr>
              <w:spacing w:before="120" w:after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259A">
              <w:rPr>
                <w:rFonts w:ascii="Times New Roman" w:eastAsia="Calibri" w:hAnsi="Times New Roman" w:cs="Times New Roman"/>
                <w:bCs/>
              </w:rPr>
              <w:t>Levéltárba adás</w:t>
            </w:r>
          </w:p>
          <w:p w:rsidR="0050259A" w:rsidRPr="0050259A" w:rsidRDefault="0050259A" w:rsidP="00ED756D">
            <w:pPr>
              <w:numPr>
                <w:ilvl w:val="0"/>
                <w:numId w:val="2"/>
              </w:numPr>
              <w:spacing w:before="120" w:after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259A">
              <w:rPr>
                <w:rFonts w:ascii="Times New Roman" w:eastAsia="Calibri" w:hAnsi="Times New Roman" w:cs="Times New Roman"/>
                <w:bCs/>
              </w:rPr>
              <w:t>Belső iratküldések</w:t>
            </w:r>
          </w:p>
          <w:p w:rsidR="0050259A" w:rsidRPr="0050259A" w:rsidRDefault="0050259A" w:rsidP="00ED756D">
            <w:pPr>
              <w:numPr>
                <w:ilvl w:val="0"/>
                <w:numId w:val="2"/>
              </w:numPr>
              <w:spacing w:before="120" w:after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259A">
              <w:rPr>
                <w:rFonts w:ascii="Times New Roman" w:eastAsia="Calibri" w:hAnsi="Times New Roman" w:cs="Times New Roman"/>
                <w:bCs/>
              </w:rPr>
              <w:t>Archiválás</w:t>
            </w:r>
          </w:p>
          <w:p w:rsidR="0050259A" w:rsidRPr="0050259A" w:rsidRDefault="0050259A" w:rsidP="00ED756D">
            <w:pPr>
              <w:numPr>
                <w:ilvl w:val="0"/>
                <w:numId w:val="2"/>
              </w:numPr>
              <w:spacing w:before="120" w:after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259A">
              <w:rPr>
                <w:rFonts w:ascii="Times New Roman" w:eastAsia="Calibri" w:hAnsi="Times New Roman" w:cs="Times New Roman"/>
                <w:bCs/>
              </w:rPr>
              <w:t>az ügyintézés mennyiségi és minőségi adatait tartalmazó vezetői információk</w:t>
            </w:r>
          </w:p>
          <w:p w:rsidR="0050259A" w:rsidRPr="0050259A" w:rsidRDefault="0050259A" w:rsidP="00ED756D">
            <w:pPr>
              <w:numPr>
                <w:ilvl w:val="0"/>
                <w:numId w:val="2"/>
              </w:numPr>
              <w:spacing w:before="120" w:after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259A">
              <w:rPr>
                <w:rFonts w:ascii="Times New Roman" w:eastAsia="Calibri" w:hAnsi="Times New Roman" w:cs="Times New Roman"/>
                <w:bCs/>
              </w:rPr>
              <w:t>éves hatósági statisztikai jelentés</w:t>
            </w:r>
          </w:p>
          <w:p w:rsidR="0050259A" w:rsidRPr="0050259A" w:rsidRDefault="0050259A" w:rsidP="00ED756D">
            <w:pPr>
              <w:spacing w:before="120" w:after="120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</w:p>
        </w:tc>
      </w:tr>
    </w:tbl>
    <w:p w:rsidR="0050259A" w:rsidRDefault="0050259A" w:rsidP="0050259A">
      <w:pPr>
        <w:keepNext/>
        <w:keepLines/>
        <w:spacing w:before="480" w:after="0"/>
        <w:ind w:left="426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</w:pPr>
    </w:p>
    <w:p w:rsidR="0050259A" w:rsidRDefault="0050259A">
      <w:pPr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  <w:br w:type="page"/>
      </w:r>
    </w:p>
    <w:p w:rsidR="0050259A" w:rsidRPr="0050259A" w:rsidRDefault="0050259A" w:rsidP="0050259A">
      <w:pPr>
        <w:keepNext/>
        <w:keepLines/>
        <w:numPr>
          <w:ilvl w:val="3"/>
          <w:numId w:val="3"/>
        </w:numPr>
        <w:spacing w:before="480" w:after="0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</w:pPr>
      <w:r w:rsidRPr="0050259A"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  <w:lastRenderedPageBreak/>
        <w:t>Ingatlanvagyon-kataszter szakrendszer szolgáltatáskatalógusa</w:t>
      </w:r>
    </w:p>
    <w:p w:rsidR="0050259A" w:rsidRPr="0050259A" w:rsidRDefault="0050259A" w:rsidP="0050259A">
      <w:pPr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58"/>
        <w:gridCol w:w="7307"/>
      </w:tblGrid>
      <w:tr w:rsidR="0050259A" w:rsidRPr="0050259A" w:rsidTr="00ED756D">
        <w:trPr>
          <w:cantSplit/>
          <w:trHeight w:val="1076"/>
          <w:jc w:val="center"/>
        </w:trPr>
        <w:tc>
          <w:tcPr>
            <w:tcW w:w="215" w:type="pct"/>
            <w:shd w:val="clear" w:color="auto" w:fill="B8CCE4"/>
            <w:vAlign w:val="center"/>
            <w:hideMark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12" w:type="pct"/>
            <w:shd w:val="clear" w:color="auto" w:fill="B8CCE4"/>
            <w:vAlign w:val="center"/>
            <w:hideMark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Rövid összefoglaló</w:t>
            </w:r>
          </w:p>
        </w:tc>
        <w:tc>
          <w:tcPr>
            <w:tcW w:w="3973" w:type="pct"/>
            <w:shd w:val="clear" w:color="auto" w:fill="B8CCE4"/>
            <w:vAlign w:val="center"/>
          </w:tcPr>
          <w:p w:rsidR="0050259A" w:rsidRPr="0050259A" w:rsidRDefault="0050259A" w:rsidP="00ED756D">
            <w:pPr>
              <w:spacing w:before="120" w:after="120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Az ingatlanvagyon-kataszter nyilvántartás az önkormányzati tulajdonban lévő ingatlanok helyrajzi számon alapuló egységes szerkezetben történő egyedi nyilvántartása, amely magába foglalja a földterületet, a földfelszínen lévő épületet, építményt, valamint a földalatti közmű építményeket is. </w:t>
            </w:r>
            <w:r w:rsidRPr="0050259A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A szakrendszer biztosítja az adatok rögzítését, módosítását, nyomtatását, valamint a tulajdonból kikerült ingatlanok törlését olyan módon, hogy a nyilvántartásból kikerüljön, de visszakérdezhető legyen a későbbiek során is. A program biztosítja a kataszteri adat és betétlapokon belüli kitöltöttség ellenőrzését, a kataszteri betétlapokon belüli összefüggések ellenőrzését, valamint helyrajzi számonként a kataszteri betétlapok közötti összefüggések ellenőrzését.</w:t>
            </w:r>
          </w:p>
        </w:tc>
      </w:tr>
      <w:tr w:rsidR="0050259A" w:rsidRPr="0050259A" w:rsidTr="00ED756D">
        <w:trPr>
          <w:cantSplit/>
          <w:trHeight w:val="544"/>
          <w:jc w:val="center"/>
        </w:trPr>
        <w:tc>
          <w:tcPr>
            <w:tcW w:w="215" w:type="pct"/>
            <w:shd w:val="clear" w:color="auto" w:fill="DBE5F1"/>
            <w:vAlign w:val="center"/>
            <w:hideMark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12" w:type="pct"/>
            <w:shd w:val="clear" w:color="auto" w:fill="DBE5F1"/>
            <w:vAlign w:val="center"/>
            <w:hideMark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A szolgáltatás részei</w:t>
            </w:r>
          </w:p>
        </w:tc>
        <w:tc>
          <w:tcPr>
            <w:tcW w:w="3973" w:type="pct"/>
            <w:shd w:val="clear" w:color="auto" w:fill="DBE5F1"/>
            <w:vAlign w:val="center"/>
            <w:hideMark/>
          </w:tcPr>
          <w:p w:rsidR="0050259A" w:rsidRPr="0050259A" w:rsidRDefault="0050259A" w:rsidP="00ED756D">
            <w:pPr>
              <w:spacing w:before="120" w:after="120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OSAP 1616 statisztika elkészítése, statisztikai hibák javítása</w:t>
            </w:r>
          </w:p>
          <w:p w:rsidR="0050259A" w:rsidRPr="0050259A" w:rsidRDefault="0050259A" w:rsidP="00ED756D">
            <w:pPr>
              <w:spacing w:before="120" w:after="120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értékbecslő betétlapok nyilvántartása</w:t>
            </w:r>
          </w:p>
          <w:p w:rsidR="0050259A" w:rsidRPr="0050259A" w:rsidRDefault="0050259A" w:rsidP="00ED756D">
            <w:pPr>
              <w:spacing w:before="120" w:after="120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címadatok kezelése</w:t>
            </w:r>
          </w:p>
          <w:p w:rsidR="0050259A" w:rsidRPr="0050259A" w:rsidRDefault="0050259A" w:rsidP="00ED756D">
            <w:pPr>
              <w:spacing w:before="120" w:after="120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paraméterezhető lekérdezési lehetőség</w:t>
            </w:r>
          </w:p>
        </w:tc>
      </w:tr>
    </w:tbl>
    <w:p w:rsidR="0050259A" w:rsidRDefault="0050259A" w:rsidP="0050259A">
      <w:pPr>
        <w:keepNext/>
        <w:keepLines/>
        <w:numPr>
          <w:ilvl w:val="3"/>
          <w:numId w:val="3"/>
        </w:numPr>
        <w:spacing w:before="480" w:after="0"/>
        <w:ind w:left="426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</w:pPr>
      <w:r w:rsidRPr="0050259A"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  <w:t>Ipar- és kereskedelmi szakrendszer szolgáltatáskatalógusa</w:t>
      </w:r>
    </w:p>
    <w:p w:rsidR="0050259A" w:rsidRPr="0050259A" w:rsidRDefault="0050259A" w:rsidP="0050259A">
      <w:pPr>
        <w:pStyle w:val="Nincstrkz"/>
        <w:spacing w:line="276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58"/>
        <w:gridCol w:w="7307"/>
      </w:tblGrid>
      <w:tr w:rsidR="0050259A" w:rsidRPr="0050259A" w:rsidTr="00ED756D">
        <w:trPr>
          <w:cantSplit/>
          <w:trHeight w:val="1076"/>
          <w:jc w:val="center"/>
        </w:trPr>
        <w:tc>
          <w:tcPr>
            <w:tcW w:w="215" w:type="pct"/>
            <w:shd w:val="clear" w:color="auto" w:fill="B8CCE4"/>
            <w:vAlign w:val="center"/>
            <w:hideMark/>
          </w:tcPr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12" w:type="pct"/>
            <w:shd w:val="clear" w:color="auto" w:fill="B8CCE4"/>
            <w:vAlign w:val="center"/>
            <w:hideMark/>
          </w:tcPr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Rövid összefoglaló</w:t>
            </w:r>
          </w:p>
        </w:tc>
        <w:tc>
          <w:tcPr>
            <w:tcW w:w="3973" w:type="pct"/>
            <w:shd w:val="clear" w:color="auto" w:fill="B8CCE4"/>
            <w:vAlign w:val="center"/>
            <w:hideMark/>
          </w:tcPr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</w:rPr>
              <w:t>Szakterületi funkciók:</w:t>
            </w:r>
          </w:p>
          <w:p w:rsidR="0050259A" w:rsidRPr="0050259A" w:rsidRDefault="0050259A" w:rsidP="0050259A">
            <w:pPr>
              <w:spacing w:before="120" w:after="120"/>
              <w:ind w:left="742" w:hanging="6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Az egyes szakterületek adatainak nyilvántartását végzik, az ügyintézési eseményeket, és az ezekhez kapcsolódó adatokat naplózzák.</w:t>
            </w:r>
          </w:p>
          <w:p w:rsidR="0050259A" w:rsidRPr="0050259A" w:rsidRDefault="0050259A" w:rsidP="0050259A">
            <w:pPr>
              <w:spacing w:before="120" w:after="120"/>
              <w:ind w:left="742" w:hanging="6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Lehetővé teszik, hogy az ügyintézők az ügyhöz kapcsolódó aktuális adatok, és a rendszerben rögzített, önkormányzatilag egyedi sablonok alapján automatikusan készíthessék el az ügyintézéshez szükséges nyomtatványokat, dokumentumokat.</w:t>
            </w:r>
          </w:p>
          <w:p w:rsidR="0050259A" w:rsidRPr="0050259A" w:rsidRDefault="0050259A" w:rsidP="0050259A">
            <w:pPr>
              <w:spacing w:before="120" w:after="120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Elkészítik a törvényileg előírt hatósági adatszolgáltatásokat.</w:t>
            </w:r>
          </w:p>
          <w:p w:rsidR="0050259A" w:rsidRPr="0050259A" w:rsidRDefault="0050259A" w:rsidP="0050259A">
            <w:pPr>
              <w:spacing w:before="120" w:after="120"/>
              <w:ind w:left="742" w:hanging="60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Az alkalmazásoknak és a tárolt adatoknak megfelelő, sokrétű keresési lehetőséget biztosítanak az adatok eléréséhez.</w:t>
            </w:r>
          </w:p>
          <w:p w:rsidR="0050259A" w:rsidRPr="0050259A" w:rsidRDefault="0050259A" w:rsidP="0050259A">
            <w:pPr>
              <w:spacing w:before="120" w:after="120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Biztosítják a tárolt adatok Internetes megjelenítését.</w:t>
            </w:r>
          </w:p>
        </w:tc>
      </w:tr>
      <w:tr w:rsidR="0050259A" w:rsidRPr="0050259A" w:rsidTr="00ED756D">
        <w:trPr>
          <w:cantSplit/>
          <w:trHeight w:val="544"/>
          <w:jc w:val="center"/>
        </w:trPr>
        <w:tc>
          <w:tcPr>
            <w:tcW w:w="215" w:type="pct"/>
            <w:shd w:val="clear" w:color="auto" w:fill="DBE5F1"/>
            <w:vAlign w:val="center"/>
            <w:hideMark/>
          </w:tcPr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12" w:type="pct"/>
            <w:shd w:val="clear" w:color="auto" w:fill="DBE5F1"/>
            <w:vAlign w:val="center"/>
            <w:hideMark/>
          </w:tcPr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A szolgáltatás részei</w:t>
            </w:r>
          </w:p>
        </w:tc>
        <w:tc>
          <w:tcPr>
            <w:tcW w:w="3973" w:type="pct"/>
            <w:shd w:val="clear" w:color="auto" w:fill="DBE5F1"/>
            <w:vAlign w:val="center"/>
            <w:hideMark/>
          </w:tcPr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</w:rPr>
              <w:t>Az IPAR modulban jelenleg a következő alkalmazások érhetőek el:</w:t>
            </w:r>
          </w:p>
          <w:p w:rsidR="0050259A" w:rsidRPr="0050259A" w:rsidRDefault="0050259A" w:rsidP="0050259A">
            <w:pPr>
              <w:spacing w:before="120" w:after="120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Működési engedély nyilvántartás</w:t>
            </w:r>
          </w:p>
          <w:p w:rsidR="0050259A" w:rsidRPr="0050259A" w:rsidRDefault="0050259A" w:rsidP="0050259A">
            <w:pPr>
              <w:spacing w:before="120" w:after="120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Telepengedély nyilvántartás</w:t>
            </w:r>
          </w:p>
          <w:p w:rsidR="0050259A" w:rsidRPr="0050259A" w:rsidRDefault="0050259A" w:rsidP="0050259A">
            <w:pPr>
              <w:spacing w:before="120" w:after="120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Szálláshely nyilvántartás</w:t>
            </w:r>
          </w:p>
          <w:p w:rsidR="0050259A" w:rsidRPr="0050259A" w:rsidRDefault="0050259A" w:rsidP="0050259A">
            <w:pPr>
              <w:spacing w:before="120" w:after="120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Vásár, piac és bevásárlóközpont nyilvántartás</w:t>
            </w:r>
          </w:p>
          <w:p w:rsidR="0050259A" w:rsidRPr="0050259A" w:rsidRDefault="0050259A" w:rsidP="0050259A">
            <w:pPr>
              <w:spacing w:before="120" w:after="120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  <w:t>Rendezvény nyilvántartás</w:t>
            </w:r>
          </w:p>
        </w:tc>
      </w:tr>
    </w:tbl>
    <w:p w:rsidR="0050259A" w:rsidRPr="0050259A" w:rsidRDefault="0050259A" w:rsidP="0050259A">
      <w:pPr>
        <w:keepNext/>
        <w:keepLines/>
        <w:spacing w:before="240" w:after="120"/>
        <w:jc w:val="both"/>
        <w:outlineLvl w:val="0"/>
        <w:rPr>
          <w:rFonts w:ascii="Times New Roman" w:eastAsia="Times New Roman" w:hAnsi="Times New Roman" w:cs="Times New Roman"/>
          <w:b/>
          <w:bCs/>
          <w:lang w:eastAsia="hu-HU"/>
        </w:rPr>
      </w:pPr>
      <w:r w:rsidRPr="0050259A">
        <w:rPr>
          <w:rFonts w:ascii="Times New Roman" w:eastAsia="Times New Roman" w:hAnsi="Times New Roman" w:cs="Times New Roman"/>
          <w:b/>
          <w:bCs/>
          <w:lang w:eastAsia="hu-HU"/>
        </w:rPr>
        <w:lastRenderedPageBreak/>
        <w:t xml:space="preserve">Egyedileg igénybevett szolgáltatások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6778"/>
      </w:tblGrid>
      <w:tr w:rsidR="0050259A" w:rsidRPr="0050259A" w:rsidTr="00ED756D">
        <w:trPr>
          <w:cantSplit/>
          <w:trHeight w:val="655"/>
          <w:jc w:val="center"/>
        </w:trPr>
        <w:tc>
          <w:tcPr>
            <w:tcW w:w="0" w:type="auto"/>
            <w:shd w:val="clear" w:color="auto" w:fill="4F81BD"/>
            <w:vAlign w:val="center"/>
          </w:tcPr>
          <w:p w:rsidR="0050259A" w:rsidRPr="0050259A" w:rsidRDefault="0050259A" w:rsidP="0050259A">
            <w:pPr>
              <w:keepNext/>
              <w:spacing w:before="100" w:beforeAutospacing="1" w:afterAutospacing="1"/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50259A">
              <w:rPr>
                <w:rFonts w:ascii="Times New Roman" w:eastAsia="Times New Roman" w:hAnsi="Times New Roman" w:cs="Times New Roman"/>
                <w:b/>
                <w:color w:val="FFFFFF"/>
              </w:rPr>
              <w:t>Szolgáltatás elem</w:t>
            </w:r>
          </w:p>
        </w:tc>
        <w:tc>
          <w:tcPr>
            <w:tcW w:w="0" w:type="auto"/>
            <w:shd w:val="clear" w:color="auto" w:fill="4F81BD"/>
            <w:vAlign w:val="center"/>
          </w:tcPr>
          <w:p w:rsidR="0050259A" w:rsidRPr="0050259A" w:rsidRDefault="0050259A" w:rsidP="0050259A">
            <w:pPr>
              <w:keepNext/>
              <w:spacing w:before="100" w:beforeAutospacing="1" w:afterAutospacing="1"/>
              <w:ind w:left="142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50259A">
              <w:rPr>
                <w:rFonts w:ascii="Times New Roman" w:eastAsia="Times New Roman" w:hAnsi="Times New Roman" w:cs="Times New Roman"/>
                <w:b/>
                <w:color w:val="FFFFFF"/>
              </w:rPr>
              <w:t>Szolgáltatás elem leírása</w:t>
            </w:r>
          </w:p>
        </w:tc>
      </w:tr>
      <w:tr w:rsidR="0050259A" w:rsidRPr="0050259A" w:rsidTr="00ED756D">
        <w:trPr>
          <w:cantSplit/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50259A" w:rsidRPr="0050259A" w:rsidRDefault="0050259A" w:rsidP="0050259A">
            <w:pPr>
              <w:keepNext/>
              <w:spacing w:before="240" w:after="60"/>
              <w:ind w:lef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működési engedély nyilvántartás funkcionalitása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50259A">
              <w:rPr>
                <w:rFonts w:ascii="Times New Roman" w:eastAsia="Calibri" w:hAnsi="Times New Roman" w:cs="Times New Roman"/>
              </w:rPr>
              <w:t xml:space="preserve">A program a kereskedelmi tevékenységek végzésének feltételeiről szóló 210/2009. (IX. 29.) Korm. rendelet előírásainak megfelelő formában és adattartalmakkal végzi a működési engedélyek számítógépes nyilvántartását. </w:t>
            </w:r>
          </w:p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50259A">
              <w:rPr>
                <w:rFonts w:ascii="Times New Roman" w:eastAsia="Calibri" w:hAnsi="Times New Roman" w:cs="Times New Roman"/>
              </w:rPr>
              <w:t>A tárolt adatok alapján a rendeletnek megfelelő bejelentés, igazolás, határozatok, szemlemeghívók és egyéb iratok nyomtathatók.</w:t>
            </w:r>
          </w:p>
        </w:tc>
      </w:tr>
      <w:tr w:rsidR="0050259A" w:rsidRPr="0050259A" w:rsidTr="00ED756D">
        <w:trPr>
          <w:cantSplit/>
          <w:jc w:val="center"/>
        </w:trPr>
        <w:tc>
          <w:tcPr>
            <w:tcW w:w="0" w:type="auto"/>
            <w:shd w:val="clear" w:color="auto" w:fill="B8CCE4"/>
            <w:vAlign w:val="center"/>
          </w:tcPr>
          <w:p w:rsidR="0050259A" w:rsidRPr="0050259A" w:rsidRDefault="0050259A" w:rsidP="0050259A">
            <w:pPr>
              <w:keepNext/>
              <w:spacing w:before="240" w:after="60"/>
              <w:ind w:lef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Telepengedély nyilvántartás funkcionalitása</w:t>
            </w:r>
          </w:p>
        </w:tc>
        <w:tc>
          <w:tcPr>
            <w:tcW w:w="0" w:type="auto"/>
            <w:shd w:val="clear" w:color="auto" w:fill="B8CCE4"/>
            <w:vAlign w:val="center"/>
          </w:tcPr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 xml:space="preserve">A program a telepengedély, illetve a telep létesítésének bejelentése alapján gyakorolható egyes termelő és egyes szolgáltató tevékenységekről, valamint a telepengedélyezés rendjéről és a bejelentés szabályairól szóló 57/2013. (II. 27.) Korm. rendelet előírásainak megfelelő formában és adattartalmakkal végzi a telephelyengedélyek számítógépes nyilvántartását. </w:t>
            </w:r>
          </w:p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A tárolt adatok alapján a rendeletnek megfelelő telephelyengedély, határozatok, szemlemeghívók és egyéb iratok nyomtathatók.</w:t>
            </w:r>
          </w:p>
        </w:tc>
      </w:tr>
      <w:tr w:rsidR="0050259A" w:rsidRPr="0050259A" w:rsidTr="00ED756D">
        <w:trPr>
          <w:cantSplit/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50259A" w:rsidRPr="0050259A" w:rsidRDefault="0050259A" w:rsidP="0050259A">
            <w:pPr>
              <w:keepNext/>
              <w:spacing w:before="240" w:after="60"/>
              <w:ind w:lef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Üzleti szálláshely nyilvántartás funkcionalitása</w:t>
            </w:r>
          </w:p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  <w:vAlign w:val="center"/>
          </w:tcPr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50259A">
              <w:rPr>
                <w:rFonts w:ascii="Times New Roman" w:eastAsia="Calibri" w:hAnsi="Times New Roman" w:cs="Times New Roman"/>
              </w:rPr>
              <w:t xml:space="preserve">A program a szálláshely-szolgáltatási tevékenység folytatásának részletes feltételeiről és a szálláshely-üzemeltetési engedély kiadásának rendjéről szóló 239/2009. (X. 20.) Korm. Rendelet és a nem üzleti célú közösségi, szabadidős szálláshely-szolgáltatásról szóló 173/2003. (X. 28.) Korm. rendeletet előírásainak megfelelő formában és adattartalmakkal végzi a szálláshelyek és a nem üzleti szálláshely számítógépes nyilvántartását. </w:t>
            </w:r>
          </w:p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Calibri" w:hAnsi="Times New Roman" w:cs="Times New Roman"/>
              </w:rPr>
              <w:t>A tárolt adatok alapján a rendeletnek megfelelő határozatok és nyilvántartás nyomtatható.</w:t>
            </w:r>
          </w:p>
        </w:tc>
      </w:tr>
      <w:tr w:rsidR="0050259A" w:rsidRPr="0050259A" w:rsidTr="00ED756D">
        <w:trPr>
          <w:cantSplit/>
          <w:jc w:val="center"/>
        </w:trPr>
        <w:tc>
          <w:tcPr>
            <w:tcW w:w="0" w:type="auto"/>
            <w:shd w:val="clear" w:color="auto" w:fill="B8CCE4"/>
            <w:vAlign w:val="center"/>
          </w:tcPr>
          <w:p w:rsidR="0050259A" w:rsidRPr="0050259A" w:rsidRDefault="0050259A" w:rsidP="0050259A">
            <w:pPr>
              <w:keepNext/>
              <w:spacing w:before="240" w:after="60"/>
              <w:ind w:lef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Vásár, piac és bevásárlóközpont funkcionalitása</w:t>
            </w:r>
          </w:p>
        </w:tc>
        <w:tc>
          <w:tcPr>
            <w:tcW w:w="0" w:type="auto"/>
            <w:shd w:val="clear" w:color="auto" w:fill="B8CCE4"/>
            <w:vAlign w:val="center"/>
          </w:tcPr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50259A">
              <w:rPr>
                <w:rFonts w:ascii="Times New Roman" w:eastAsia="Calibri" w:hAnsi="Times New Roman" w:cs="Times New Roman"/>
              </w:rPr>
              <w:t xml:space="preserve"> A program a vásárok, a piacok, és a bevásárlóközpontok működésének biztonságosabbá tételéről szóló </w:t>
            </w:r>
            <w:r w:rsidRPr="0050259A">
              <w:rPr>
                <w:rFonts w:ascii="Times New Roman" w:eastAsia="Calibri" w:hAnsi="Times New Roman" w:cs="Times New Roman"/>
                <w:bCs/>
              </w:rPr>
              <w:t>55/2009. (III. 13.) Korm. rendelet</w:t>
            </w:r>
            <w:r w:rsidRPr="0050259A">
              <w:rPr>
                <w:rFonts w:ascii="Times New Roman" w:eastAsia="Calibri" w:hAnsi="Times New Roman" w:cs="Times New Roman"/>
              </w:rPr>
              <w:t xml:space="preserve"> előírásainak megfelelő formában és adattartalmakkal végzi a vásárok, piacok és bevásárlóközpontok számítógépes nyilvántartását. </w:t>
            </w:r>
          </w:p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Calibri" w:hAnsi="Times New Roman" w:cs="Times New Roman"/>
              </w:rPr>
              <w:t>A tárolt adatok alapján a rendeletnek megfelelő igazolás és egyéb iratok nyomtathatók.</w:t>
            </w:r>
          </w:p>
        </w:tc>
      </w:tr>
      <w:tr w:rsidR="0050259A" w:rsidRPr="0050259A" w:rsidTr="00ED756D">
        <w:trPr>
          <w:cantSplit/>
          <w:jc w:val="center"/>
        </w:trPr>
        <w:tc>
          <w:tcPr>
            <w:tcW w:w="0" w:type="auto"/>
            <w:shd w:val="clear" w:color="auto" w:fill="DBE5F1"/>
            <w:vAlign w:val="center"/>
          </w:tcPr>
          <w:p w:rsidR="0050259A" w:rsidRPr="0050259A" w:rsidRDefault="0050259A" w:rsidP="0050259A">
            <w:pPr>
              <w:keepNext/>
              <w:spacing w:before="240" w:after="60"/>
              <w:ind w:left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Rendezvény nyilvántartás funkcionalitása</w:t>
            </w:r>
          </w:p>
        </w:tc>
        <w:tc>
          <w:tcPr>
            <w:tcW w:w="0" w:type="auto"/>
            <w:shd w:val="clear" w:color="auto" w:fill="DBE5F1"/>
            <w:vAlign w:val="center"/>
          </w:tcPr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50259A">
              <w:rPr>
                <w:rFonts w:ascii="Times New Roman" w:eastAsia="Calibri" w:hAnsi="Times New Roman" w:cs="Times New Roman"/>
              </w:rPr>
              <w:t xml:space="preserve"> A program a zenés, táncos rendezvények működésének biztonságosabbá tételéről szóló 23/2011. (III. 8.) Korm. rendelet előírásainak megfelelő formában és adattartalmakkal végzi a rendezvénytartási engedélyek számítógépes nyilvántartását. </w:t>
            </w:r>
          </w:p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Calibri" w:hAnsi="Times New Roman" w:cs="Times New Roman"/>
              </w:rPr>
              <w:t>A tárolt adatok alapján a rendeletnek megfelelő igazolás és egyéb iratok nyomtathatók.</w:t>
            </w:r>
          </w:p>
        </w:tc>
      </w:tr>
    </w:tbl>
    <w:p w:rsidR="0050259A" w:rsidRPr="0050259A" w:rsidRDefault="0050259A" w:rsidP="0050259A">
      <w:pPr>
        <w:ind w:left="142"/>
        <w:jc w:val="both"/>
        <w:rPr>
          <w:rFonts w:ascii="Times New Roman" w:eastAsia="Calibri" w:hAnsi="Times New Roman" w:cs="Times New Roman"/>
        </w:rPr>
      </w:pPr>
    </w:p>
    <w:p w:rsidR="0050259A" w:rsidRPr="0050259A" w:rsidRDefault="0050259A" w:rsidP="0050259A">
      <w:pPr>
        <w:keepNext/>
        <w:keepLines/>
        <w:numPr>
          <w:ilvl w:val="3"/>
          <w:numId w:val="3"/>
        </w:numPr>
        <w:spacing w:before="480" w:after="0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</w:pPr>
      <w:r w:rsidRPr="0050259A"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  <w:lastRenderedPageBreak/>
        <w:t>Hagyatéki leltárrendszer szolgáltatáskatalógusa</w:t>
      </w:r>
    </w:p>
    <w:p w:rsidR="0050259A" w:rsidRPr="0050259A" w:rsidRDefault="0050259A" w:rsidP="0050259A">
      <w:pPr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458"/>
        <w:gridCol w:w="7306"/>
      </w:tblGrid>
      <w:tr w:rsidR="0050259A" w:rsidRPr="0050259A" w:rsidTr="0050259A">
        <w:trPr>
          <w:cantSplit/>
          <w:trHeight w:val="1076"/>
          <w:jc w:val="center"/>
        </w:trPr>
        <w:tc>
          <w:tcPr>
            <w:tcW w:w="282" w:type="pct"/>
            <w:shd w:val="clear" w:color="auto" w:fill="B8CCE4"/>
            <w:vAlign w:val="center"/>
            <w:hideMark/>
          </w:tcPr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85" w:type="pct"/>
            <w:shd w:val="clear" w:color="auto" w:fill="B8CCE4"/>
            <w:vAlign w:val="center"/>
            <w:hideMark/>
          </w:tcPr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Rövid összefoglaló</w:t>
            </w:r>
          </w:p>
        </w:tc>
        <w:tc>
          <w:tcPr>
            <w:tcW w:w="3934" w:type="pct"/>
            <w:shd w:val="clear" w:color="auto" w:fill="B8CCE4"/>
            <w:vAlign w:val="center"/>
            <w:hideMark/>
          </w:tcPr>
          <w:p w:rsidR="0050259A" w:rsidRPr="0050259A" w:rsidRDefault="0050259A" w:rsidP="0050259A">
            <w:pPr>
              <w:spacing w:before="120" w:after="120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</w:rPr>
              <w:t>A hagyatéki leltárrendszer az önkormányzatok hagyatéki ügyekkel kapcsolatos nyilvántartási és ügyintézési feladatait támogatja. A hagyatéki eljárás egyes cselekményeiről szóló 29/2010. (XII. 31.) KIM rendelet előírásainak megfelelően a rögzített adatok alapján elkészíti a szükséges ügyiratokat, és létrehozza a hagyatéki leltárt.</w:t>
            </w:r>
          </w:p>
        </w:tc>
      </w:tr>
      <w:tr w:rsidR="0050259A" w:rsidRPr="0050259A" w:rsidTr="0050259A">
        <w:trPr>
          <w:cantSplit/>
          <w:trHeight w:val="544"/>
          <w:jc w:val="center"/>
        </w:trPr>
        <w:tc>
          <w:tcPr>
            <w:tcW w:w="282" w:type="pct"/>
            <w:shd w:val="clear" w:color="auto" w:fill="DBE5F1"/>
            <w:vAlign w:val="center"/>
            <w:hideMark/>
          </w:tcPr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85" w:type="pct"/>
            <w:shd w:val="clear" w:color="auto" w:fill="DBE5F1"/>
            <w:vAlign w:val="center"/>
            <w:hideMark/>
          </w:tcPr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A szolgáltatás részei</w:t>
            </w:r>
          </w:p>
        </w:tc>
        <w:tc>
          <w:tcPr>
            <w:tcW w:w="3934" w:type="pct"/>
            <w:shd w:val="clear" w:color="auto" w:fill="DBE5F1"/>
            <w:vAlign w:val="center"/>
          </w:tcPr>
          <w:p w:rsidR="0050259A" w:rsidRPr="0050259A" w:rsidRDefault="0050259A" w:rsidP="0050259A">
            <w:pPr>
              <w:spacing w:before="120" w:after="120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</w:rPr>
              <w:t>A rendszerben rögzítésre kerülnek az örökhagyó, a hagyaték, az érdekeltek adatai, amelyek így a nyilvántartás részét fogják képezni. A rögzített adatok alapján esetenként elkészíthető a hagyatéki leltárnyomtatvány.</w:t>
            </w:r>
          </w:p>
        </w:tc>
      </w:tr>
    </w:tbl>
    <w:p w:rsidR="0050259A" w:rsidRDefault="0050259A" w:rsidP="0050259A">
      <w:pPr>
        <w:keepNext/>
        <w:keepLines/>
        <w:numPr>
          <w:ilvl w:val="3"/>
          <w:numId w:val="3"/>
        </w:numPr>
        <w:spacing w:before="480" w:after="0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</w:pPr>
      <w:r w:rsidRPr="0050259A"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  <w:t xml:space="preserve">Az elektronikus ügyintézési portál rendszer, ideértve az elektronikus űrlap-szolgáltatás szolgáltatáskatalógusa </w:t>
      </w:r>
    </w:p>
    <w:p w:rsidR="0050259A" w:rsidRPr="0050259A" w:rsidRDefault="0050259A" w:rsidP="0050259A">
      <w:pPr>
        <w:pStyle w:val="Nincstrkz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458"/>
        <w:gridCol w:w="7306"/>
      </w:tblGrid>
      <w:tr w:rsidR="0050259A" w:rsidRPr="0050259A" w:rsidTr="00ED756D">
        <w:trPr>
          <w:cantSplit/>
          <w:trHeight w:val="228"/>
          <w:jc w:val="center"/>
        </w:trPr>
        <w:tc>
          <w:tcPr>
            <w:tcW w:w="5000" w:type="pct"/>
            <w:gridSpan w:val="3"/>
            <w:shd w:val="clear" w:color="auto" w:fill="DBE5F1"/>
            <w:vAlign w:val="center"/>
            <w:hideMark/>
          </w:tcPr>
          <w:p w:rsidR="0050259A" w:rsidRPr="0050259A" w:rsidRDefault="0050259A" w:rsidP="00ED756D">
            <w:pPr>
              <w:keepNext/>
              <w:spacing w:before="100" w:beforeAutospacing="1" w:afterAutospacing="1"/>
              <w:ind w:left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59A">
              <w:rPr>
                <w:rFonts w:ascii="Times New Roman" w:eastAsia="Times New Roman" w:hAnsi="Times New Roman" w:cs="Times New Roman"/>
                <w:b/>
              </w:rPr>
              <w:t>Alkalmazás-üzemeltetés, támogatás-szolgáltatás</w:t>
            </w:r>
          </w:p>
        </w:tc>
      </w:tr>
      <w:tr w:rsidR="0050259A" w:rsidRPr="0050259A" w:rsidTr="0050259A">
        <w:trPr>
          <w:cantSplit/>
          <w:trHeight w:val="1076"/>
          <w:jc w:val="center"/>
        </w:trPr>
        <w:tc>
          <w:tcPr>
            <w:tcW w:w="282" w:type="pct"/>
            <w:shd w:val="clear" w:color="auto" w:fill="B8CCE4"/>
            <w:vAlign w:val="center"/>
            <w:hideMark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85" w:type="pct"/>
            <w:shd w:val="clear" w:color="auto" w:fill="B8CCE4"/>
            <w:vAlign w:val="center"/>
            <w:hideMark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Rövid összefoglaló</w:t>
            </w:r>
          </w:p>
        </w:tc>
        <w:tc>
          <w:tcPr>
            <w:tcW w:w="3934" w:type="pct"/>
            <w:shd w:val="clear" w:color="auto" w:fill="B8CCE4"/>
            <w:vAlign w:val="center"/>
            <w:hideMark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Elektronikus ügyintézési Portál, amely az ASP központhoz kapcsolódó elektronikus ügyintézési szolgáltatásokat (ELÜGY) tartalmazza. Ezt a megoldást csatlakozás esetén alkalmazni kell, mint elektronikus ügyintézési szolgáltatást, amelynek internetes elérhetőségét közzé kell tenni a saját </w:t>
            </w:r>
            <w:proofErr w:type="gramStart"/>
            <w:r w:rsidRPr="0050259A">
              <w:rPr>
                <w:rFonts w:ascii="Times New Roman" w:eastAsia="Times New Roman" w:hAnsi="Times New Roman" w:cs="Times New Roman"/>
                <w:iCs/>
                <w:color w:val="000000"/>
              </w:rPr>
              <w:t>meglévő</w:t>
            </w:r>
            <w:proofErr w:type="gramEnd"/>
            <w:r w:rsidRPr="0050259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vagy az ASP projekt keretében fejlesztett és az ASP központban üzemeltetett települési honlapra linkelve. A portál interneten bárki számára elérhető, de egyes szolgáltatásai regisztrációt igényelnek. Az ASP regisztráció ügyféloldali előfeltétele az Ügyfélkapu regisztráció. </w:t>
            </w:r>
          </w:p>
        </w:tc>
      </w:tr>
      <w:tr w:rsidR="0050259A" w:rsidRPr="0050259A" w:rsidTr="0050259A">
        <w:trPr>
          <w:cantSplit/>
          <w:trHeight w:val="1076"/>
          <w:jc w:val="center"/>
        </w:trPr>
        <w:tc>
          <w:tcPr>
            <w:tcW w:w="282" w:type="pct"/>
            <w:shd w:val="clear" w:color="auto" w:fill="B8CCE4"/>
            <w:vAlign w:val="center"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85" w:type="pct"/>
            <w:shd w:val="clear" w:color="auto" w:fill="B8CCE4"/>
            <w:vAlign w:val="center"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A szolgáltatás részei</w:t>
            </w:r>
          </w:p>
        </w:tc>
        <w:tc>
          <w:tcPr>
            <w:tcW w:w="3934" w:type="pct"/>
            <w:shd w:val="clear" w:color="auto" w:fill="B8CCE4"/>
            <w:vAlign w:val="center"/>
          </w:tcPr>
          <w:p w:rsidR="0050259A" w:rsidRPr="0050259A" w:rsidRDefault="0050259A" w:rsidP="00ED756D">
            <w:pPr>
              <w:numPr>
                <w:ilvl w:val="0"/>
                <w:numId w:val="2"/>
              </w:numPr>
              <w:spacing w:before="120" w:after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259A">
              <w:rPr>
                <w:rFonts w:ascii="Times New Roman" w:eastAsia="Calibri" w:hAnsi="Times New Roman" w:cs="Times New Roman"/>
                <w:bCs/>
              </w:rPr>
              <w:t>Ügyindítás</w:t>
            </w:r>
          </w:p>
          <w:p w:rsidR="0050259A" w:rsidRPr="0050259A" w:rsidRDefault="0050259A" w:rsidP="00ED756D">
            <w:pPr>
              <w:numPr>
                <w:ilvl w:val="0"/>
                <w:numId w:val="2"/>
              </w:numPr>
              <w:spacing w:before="120" w:after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259A">
              <w:rPr>
                <w:rFonts w:ascii="Times New Roman" w:eastAsia="Calibri" w:hAnsi="Times New Roman" w:cs="Times New Roman"/>
                <w:bCs/>
              </w:rPr>
              <w:t>Ügykövetés</w:t>
            </w:r>
          </w:p>
          <w:p w:rsidR="0050259A" w:rsidRPr="0050259A" w:rsidRDefault="0050259A" w:rsidP="00ED756D">
            <w:pPr>
              <w:numPr>
                <w:ilvl w:val="0"/>
                <w:numId w:val="2"/>
              </w:numPr>
              <w:spacing w:before="120"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0259A">
              <w:rPr>
                <w:rFonts w:ascii="Times New Roman" w:eastAsia="Calibri" w:hAnsi="Times New Roman" w:cs="Times New Roman"/>
                <w:bCs/>
              </w:rPr>
              <w:t>Adóegyenleg lekérdezése</w:t>
            </w:r>
          </w:p>
        </w:tc>
      </w:tr>
      <w:tr w:rsidR="0050259A" w:rsidRPr="0050259A" w:rsidTr="0050259A">
        <w:trPr>
          <w:cantSplit/>
          <w:trHeight w:val="1076"/>
          <w:jc w:val="center"/>
        </w:trPr>
        <w:tc>
          <w:tcPr>
            <w:tcW w:w="282" w:type="pct"/>
            <w:shd w:val="clear" w:color="auto" w:fill="B8CCE4"/>
            <w:vAlign w:val="center"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85" w:type="pct"/>
            <w:shd w:val="clear" w:color="auto" w:fill="B8CCE4"/>
            <w:vAlign w:val="center"/>
          </w:tcPr>
          <w:p w:rsidR="0050259A" w:rsidRPr="0050259A" w:rsidRDefault="0050259A" w:rsidP="00ED756D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Kapcsolódó szolgáltatás</w:t>
            </w:r>
          </w:p>
        </w:tc>
        <w:tc>
          <w:tcPr>
            <w:tcW w:w="3934" w:type="pct"/>
            <w:shd w:val="clear" w:color="auto" w:fill="B8CCE4"/>
            <w:vAlign w:val="center"/>
          </w:tcPr>
          <w:p w:rsidR="0050259A" w:rsidRPr="0050259A" w:rsidRDefault="0050259A" w:rsidP="00ED756D">
            <w:pPr>
              <w:numPr>
                <w:ilvl w:val="0"/>
                <w:numId w:val="2"/>
              </w:numPr>
              <w:spacing w:before="120" w:after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259A">
              <w:rPr>
                <w:rFonts w:ascii="Times New Roman" w:eastAsia="Calibri" w:hAnsi="Times New Roman" w:cs="Times New Roman"/>
                <w:bCs/>
              </w:rPr>
              <w:t>Űrlapok Iratkezelő szakrendszerbe való automatikus érkeztetése és iktatása</w:t>
            </w:r>
          </w:p>
          <w:p w:rsidR="0050259A" w:rsidRPr="0050259A" w:rsidRDefault="0050259A" w:rsidP="00ED756D">
            <w:pPr>
              <w:numPr>
                <w:ilvl w:val="0"/>
                <w:numId w:val="2"/>
              </w:numPr>
              <w:spacing w:before="120" w:after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0259A">
              <w:rPr>
                <w:rFonts w:ascii="Times New Roman" w:eastAsia="Calibri" w:hAnsi="Times New Roman" w:cs="Times New Roman"/>
                <w:bCs/>
              </w:rPr>
              <w:t>Iktatott űrlapok Adó szakrendszerbe való beemelése</w:t>
            </w:r>
          </w:p>
        </w:tc>
      </w:tr>
    </w:tbl>
    <w:p w:rsidR="0050259A" w:rsidRPr="0050259A" w:rsidRDefault="0050259A" w:rsidP="0050259A">
      <w:pPr>
        <w:keepNext/>
        <w:keepLines/>
        <w:numPr>
          <w:ilvl w:val="3"/>
          <w:numId w:val="3"/>
        </w:numPr>
        <w:spacing w:before="480" w:after="0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</w:pPr>
      <w:r w:rsidRPr="0050259A"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  <w:t>Önkormány</w:t>
      </w:r>
      <w:r w:rsidRPr="0050259A"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  <w:t>zati települési portál rendszer</w:t>
      </w:r>
      <w:r w:rsidRPr="0050259A">
        <w:rPr>
          <w:rFonts w:ascii="Times New Roman" w:eastAsia="Times New Roman" w:hAnsi="Times New Roman" w:cs="Times New Roman"/>
          <w:b/>
          <w:bCs/>
          <w:i/>
          <w:color w:val="000000"/>
          <w:kern w:val="32"/>
        </w:rPr>
        <w:t xml:space="preserve"> szolgáltatáskatalógusa</w:t>
      </w:r>
    </w:p>
    <w:p w:rsidR="0050259A" w:rsidRPr="0050259A" w:rsidRDefault="0050259A" w:rsidP="0050259A">
      <w:pPr>
        <w:pStyle w:val="Nincstrkz"/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458"/>
        <w:gridCol w:w="7274"/>
      </w:tblGrid>
      <w:tr w:rsidR="0050259A" w:rsidRPr="0050259A" w:rsidTr="00ED756D">
        <w:trPr>
          <w:cantSplit/>
          <w:trHeight w:val="228"/>
          <w:jc w:val="center"/>
        </w:trPr>
        <w:tc>
          <w:tcPr>
            <w:tcW w:w="5000" w:type="pct"/>
            <w:gridSpan w:val="3"/>
            <w:shd w:val="clear" w:color="auto" w:fill="DBE5F1"/>
            <w:vAlign w:val="center"/>
            <w:hideMark/>
          </w:tcPr>
          <w:p w:rsidR="0050259A" w:rsidRPr="0050259A" w:rsidRDefault="0050259A" w:rsidP="0050259A">
            <w:pPr>
              <w:keepNext/>
              <w:spacing w:before="100" w:beforeAutospacing="1" w:afterAutospacing="1"/>
              <w:ind w:left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259A">
              <w:rPr>
                <w:rFonts w:ascii="Times New Roman" w:eastAsia="Times New Roman" w:hAnsi="Times New Roman" w:cs="Times New Roman"/>
                <w:b/>
              </w:rPr>
              <w:t>Alkalmazás-üzemeltetés, támogatás-szolgáltatás</w:t>
            </w:r>
          </w:p>
        </w:tc>
      </w:tr>
      <w:tr w:rsidR="0050259A" w:rsidRPr="0050259A" w:rsidTr="00ED756D">
        <w:trPr>
          <w:cantSplit/>
          <w:trHeight w:val="1076"/>
          <w:jc w:val="center"/>
        </w:trPr>
        <w:tc>
          <w:tcPr>
            <w:tcW w:w="310" w:type="pct"/>
            <w:shd w:val="clear" w:color="auto" w:fill="B8CCE4"/>
            <w:vAlign w:val="center"/>
            <w:hideMark/>
          </w:tcPr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64" w:type="pct"/>
            <w:shd w:val="clear" w:color="auto" w:fill="B8CCE4"/>
            <w:vAlign w:val="center"/>
            <w:hideMark/>
          </w:tcPr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50259A">
              <w:rPr>
                <w:rFonts w:ascii="Times New Roman" w:eastAsia="Times New Roman" w:hAnsi="Times New Roman" w:cs="Times New Roman"/>
              </w:rPr>
              <w:t>Rövid összefoglaló</w:t>
            </w:r>
          </w:p>
        </w:tc>
        <w:tc>
          <w:tcPr>
            <w:tcW w:w="3926" w:type="pct"/>
            <w:shd w:val="clear" w:color="auto" w:fill="B8CCE4"/>
            <w:vAlign w:val="center"/>
            <w:hideMark/>
          </w:tcPr>
          <w:p w:rsidR="0050259A" w:rsidRPr="0050259A" w:rsidRDefault="0050259A" w:rsidP="0050259A">
            <w:pPr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0259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Települési honlap, amely elsősorban információs, tájékoztató feladatokat tölt be, a települést mutatja be, és információkat közöl az állampolgárok számára. Ez egy opcionálisan választható megoldás.  A települési honlapok interneten, regisztráció nélkül bárki számára elérhetőek. </w:t>
            </w:r>
          </w:p>
          <w:p w:rsidR="0050259A" w:rsidRPr="0050259A" w:rsidRDefault="0050259A" w:rsidP="0050259A">
            <w:pPr>
              <w:spacing w:before="120" w:after="120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hu-HU"/>
              </w:rPr>
            </w:pPr>
          </w:p>
        </w:tc>
      </w:tr>
    </w:tbl>
    <w:p w:rsidR="0050259A" w:rsidRPr="0050259A" w:rsidRDefault="0050259A" w:rsidP="0050259A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</w:p>
    <w:sectPr w:rsidR="0050259A" w:rsidRPr="0050259A" w:rsidSect="005025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45E"/>
    <w:multiLevelType w:val="hybridMultilevel"/>
    <w:tmpl w:val="31CCD146"/>
    <w:lvl w:ilvl="0" w:tplc="8E888DC8">
      <w:start w:val="1"/>
      <w:numFmt w:val="decimal"/>
      <w:lvlText w:val="%1."/>
      <w:lvlJc w:val="left"/>
      <w:pPr>
        <w:ind w:left="288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23428"/>
    <w:multiLevelType w:val="hybridMultilevel"/>
    <w:tmpl w:val="20BE5FE4"/>
    <w:lvl w:ilvl="0" w:tplc="8E888DC8">
      <w:start w:val="1"/>
      <w:numFmt w:val="decimal"/>
      <w:lvlText w:val="%1."/>
      <w:lvlJc w:val="left"/>
      <w:pPr>
        <w:ind w:left="288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239AB"/>
    <w:multiLevelType w:val="multilevel"/>
    <w:tmpl w:val="65EC9F1A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9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8D16A81"/>
    <w:multiLevelType w:val="hybridMultilevel"/>
    <w:tmpl w:val="5920AD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8E888DC8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B4E35"/>
    <w:multiLevelType w:val="hybridMultilevel"/>
    <w:tmpl w:val="6F7A2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9A"/>
    <w:rsid w:val="0050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0259A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50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02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0259A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50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0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1481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Baranyai Mária</dc:creator>
  <cp:lastModifiedBy>Baranyai Mária</cp:lastModifiedBy>
  <cp:revision>1</cp:revision>
  <dcterms:created xsi:type="dcterms:W3CDTF">2016-12-21T08:31:00Z</dcterms:created>
  <dcterms:modified xsi:type="dcterms:W3CDTF">2016-12-21T08:44:00Z</dcterms:modified>
</cp:coreProperties>
</file>