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473" w:rsidRDefault="00CF7473" w:rsidP="00CF7473">
      <w:pPr>
        <w:pStyle w:val="lfej"/>
        <w:tabs>
          <w:tab w:val="clear" w:pos="4536"/>
          <w:tab w:val="clear" w:pos="9072"/>
          <w:tab w:val="left" w:pos="2386"/>
        </w:tabs>
        <w:jc w:val="center"/>
      </w:pPr>
      <w:r>
        <w:rPr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4D7C4B1F" wp14:editId="345AC705">
            <wp:simplePos x="0" y="0"/>
            <wp:positionH relativeFrom="column">
              <wp:posOffset>1903730</wp:posOffset>
            </wp:positionH>
            <wp:positionV relativeFrom="paragraph">
              <wp:posOffset>-300355</wp:posOffset>
            </wp:positionV>
            <wp:extent cx="1685290" cy="655320"/>
            <wp:effectExtent l="0" t="0" r="0" b="0"/>
            <wp:wrapTight wrapText="bothSides">
              <wp:wrapPolygon edited="0">
                <wp:start x="0" y="0"/>
                <wp:lineTo x="0" y="20721"/>
                <wp:lineTo x="21242" y="20721"/>
                <wp:lineTo x="21242" y="0"/>
                <wp:lineTo x="0" y="0"/>
              </wp:wrapPolygon>
            </wp:wrapTight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0288" behindDoc="1" locked="0" layoutInCell="1" allowOverlap="1" wp14:anchorId="1991CDBB" wp14:editId="098E3A48">
            <wp:simplePos x="0" y="0"/>
            <wp:positionH relativeFrom="column">
              <wp:posOffset>-81280</wp:posOffset>
            </wp:positionH>
            <wp:positionV relativeFrom="paragraph">
              <wp:posOffset>-184150</wp:posOffset>
            </wp:positionV>
            <wp:extent cx="627380" cy="608330"/>
            <wp:effectExtent l="0" t="0" r="0" b="0"/>
            <wp:wrapThrough wrapText="bothSides">
              <wp:wrapPolygon edited="0">
                <wp:start x="2623" y="2706"/>
                <wp:lineTo x="1312" y="10146"/>
                <wp:lineTo x="1312" y="14881"/>
                <wp:lineTo x="2623" y="17587"/>
                <wp:lineTo x="19676" y="17587"/>
                <wp:lineTo x="19020" y="5411"/>
                <wp:lineTo x="18364" y="2706"/>
                <wp:lineTo x="2623" y="2706"/>
              </wp:wrapPolygon>
            </wp:wrapThrough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305E8A3D" wp14:editId="35EA14D6">
            <wp:simplePos x="0" y="0"/>
            <wp:positionH relativeFrom="column">
              <wp:posOffset>4483735</wp:posOffset>
            </wp:positionH>
            <wp:positionV relativeFrom="paragraph">
              <wp:posOffset>-252095</wp:posOffset>
            </wp:positionV>
            <wp:extent cx="1753235" cy="610235"/>
            <wp:effectExtent l="0" t="0" r="0" b="0"/>
            <wp:wrapThrough wrapText="bothSides">
              <wp:wrapPolygon edited="0">
                <wp:start x="0" y="0"/>
                <wp:lineTo x="0" y="20903"/>
                <wp:lineTo x="21357" y="20903"/>
                <wp:lineTo x="21357" y="0"/>
                <wp:lineTo x="0" y="0"/>
              </wp:wrapPolygon>
            </wp:wrapThrough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bileum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186"/>
                    <a:stretch/>
                  </pic:blipFill>
                  <pic:spPr bwMode="auto">
                    <a:xfrm>
                      <a:off x="0" y="0"/>
                      <a:ext cx="1753235" cy="610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473" w:rsidRDefault="00CF7473" w:rsidP="00AF7FED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CF7473" w:rsidRDefault="00CF7473" w:rsidP="00AF7FED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AF7FED" w:rsidRPr="00AF7FED" w:rsidRDefault="00AF7FED" w:rsidP="00AF7FED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0" w:name="_GoBack"/>
      <w:bookmarkEnd w:id="0"/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Az önkormányzati ASP szolgáltatás központi biztosításának céljai</w:t>
      </w:r>
    </w:p>
    <w:p w:rsidR="00AF7FED" w:rsidRPr="00AF7FED" w:rsidRDefault="00AF7FED" w:rsidP="00AF7FED">
      <w:pPr>
        <w:shd w:val="clear" w:color="auto" w:fill="FFFFFF"/>
        <w:spacing w:before="60" w:after="120" w:line="280" w:lineRule="atLeast"/>
        <w:ind w:right="-2"/>
        <w:jc w:val="both"/>
        <w:rPr>
          <w:rFonts w:ascii="Times New Roman" w:eastAsia="Times New Roman" w:hAnsi="Times New Roman" w:cs="Times New Roman"/>
          <w:lang w:bidi="en-US"/>
        </w:rPr>
      </w:pPr>
    </w:p>
    <w:p w:rsidR="00AF7FED" w:rsidRPr="00AF7FED" w:rsidRDefault="00AF7FED" w:rsidP="00AF7FED">
      <w:pPr>
        <w:widowControl w:val="0"/>
        <w:adjustRightInd w:val="0"/>
        <w:spacing w:before="60" w:after="120" w:line="280" w:lineRule="atLeast"/>
        <w:jc w:val="both"/>
        <w:textAlignment w:val="baseline"/>
        <w:rPr>
          <w:rFonts w:ascii="Times New Roman" w:hAnsi="Times New Roman" w:cs="Times New Roman"/>
        </w:rPr>
      </w:pPr>
      <w:r w:rsidRPr="00AF7FED">
        <w:rPr>
          <w:rFonts w:ascii="Times New Roman" w:hAnsi="Times New Roman" w:cs="Times New Roman"/>
        </w:rPr>
        <w:t xml:space="preserve">Az önkormányzati feladatellátás egységességének támogatásához, valamint a költségvetési stabilitás megőrzéséhez fűződő kormányzati érdekekre figyelemmel az állam ASP szolgáltatás keretében biztosít központi informatikai támogatást az önkormányzatoknak, és adattárház létrehozásával biztosítja a releváns gazdálkodási adatok összegyűjtését és elemezhetőségét. </w:t>
      </w:r>
    </w:p>
    <w:p w:rsidR="00AF7FED" w:rsidRPr="00AF7FED" w:rsidRDefault="00AF7FED" w:rsidP="00AF7FED">
      <w:pPr>
        <w:widowControl w:val="0"/>
        <w:adjustRightInd w:val="0"/>
        <w:spacing w:before="60" w:after="120" w:line="280" w:lineRule="atLeast"/>
        <w:jc w:val="both"/>
        <w:textAlignment w:val="baseline"/>
        <w:rPr>
          <w:rFonts w:ascii="Times New Roman" w:hAnsi="Times New Roman" w:cs="Times New Roman"/>
        </w:rPr>
      </w:pPr>
      <w:r w:rsidRPr="00AF7FED">
        <w:rPr>
          <w:rFonts w:ascii="Times New Roman" w:hAnsi="Times New Roman" w:cs="Times New Roman"/>
        </w:rPr>
        <w:t xml:space="preserve">Az önkormányzatok feladattámogatásához szükséges fejlesztések megvalósítása az Elektronikus Közigazgatási Operatív Program keretén belül, az </w:t>
      </w:r>
      <w:r w:rsidRPr="00AF7FED">
        <w:rPr>
          <w:rFonts w:ascii="Times New Roman" w:hAnsi="Times New Roman" w:cs="Times New Roman"/>
          <w:i/>
        </w:rPr>
        <w:t>EKOP-2.1.25-2012-2012-0001. számú „Önkormányzati ASP központ felállítása”</w:t>
      </w:r>
      <w:r w:rsidRPr="00AF7FED">
        <w:rPr>
          <w:rFonts w:ascii="Times New Roman" w:hAnsi="Times New Roman" w:cs="Times New Roman"/>
        </w:rPr>
        <w:t xml:space="preserve"> című kiemelt projekt keretében uniós támogatással zajlott. A fejlesztést a Kormányzati Informatikai Fejlesztési Ügynökség (KIFÜ) által vezetett Konzorcium végezte, amelynek tagjai a Magyar Államkincstár (Kincstár), a Belügyminisztérium (BM), a KINCSINFO Kincstári Informatikai Nonprofit Kft., valamint a NISZ Nemzeti Infokommunikációs Szolgáltató </w:t>
      </w:r>
      <w:proofErr w:type="spellStart"/>
      <w:r w:rsidRPr="00AF7FED">
        <w:rPr>
          <w:rFonts w:ascii="Times New Roman" w:hAnsi="Times New Roman" w:cs="Times New Roman"/>
        </w:rPr>
        <w:t>Zrt</w:t>
      </w:r>
      <w:proofErr w:type="spellEnd"/>
      <w:r w:rsidRPr="00AF7FED">
        <w:rPr>
          <w:rFonts w:ascii="Times New Roman" w:hAnsi="Times New Roman" w:cs="Times New Roman"/>
        </w:rPr>
        <w:t>. (NISZ)</w:t>
      </w:r>
      <w:r>
        <w:rPr>
          <w:rFonts w:ascii="Times New Roman" w:hAnsi="Times New Roman" w:cs="Times New Roman"/>
        </w:rPr>
        <w:t xml:space="preserve"> voltak</w:t>
      </w:r>
      <w:r w:rsidRPr="00AF7FED">
        <w:rPr>
          <w:rFonts w:ascii="Times New Roman" w:hAnsi="Times New Roman" w:cs="Times New Roman"/>
        </w:rPr>
        <w:t>.</w:t>
      </w:r>
    </w:p>
    <w:p w:rsidR="00AF7FED" w:rsidRDefault="00AF7FED" w:rsidP="00AF7FED">
      <w:pPr>
        <w:widowControl w:val="0"/>
        <w:adjustRightInd w:val="0"/>
        <w:spacing w:before="60" w:after="120" w:line="280" w:lineRule="atLeast"/>
        <w:jc w:val="both"/>
        <w:textAlignment w:val="baseline"/>
        <w:rPr>
          <w:rFonts w:ascii="Times New Roman" w:hAnsi="Times New Roman" w:cs="Times New Roman"/>
        </w:rPr>
      </w:pPr>
      <w:r w:rsidRPr="00AF7FED">
        <w:rPr>
          <w:rFonts w:ascii="Times New Roman" w:hAnsi="Times New Roman" w:cs="Times New Roman"/>
        </w:rPr>
        <w:t>Az ASP 1.0 projekt a közép-magyarországi régiót célozta, és az önkormányzatok önkéntes al</w:t>
      </w:r>
      <w:r>
        <w:rPr>
          <w:rFonts w:ascii="Times New Roman" w:hAnsi="Times New Roman" w:cs="Times New Roman"/>
        </w:rPr>
        <w:t>apon való csatlakozását tette</w:t>
      </w:r>
      <w:r w:rsidRPr="00AF7FED">
        <w:rPr>
          <w:rFonts w:ascii="Times New Roman" w:hAnsi="Times New Roman" w:cs="Times New Roman"/>
        </w:rPr>
        <w:t xml:space="preserve"> lehetővé, amelynek eredményeképpen 2015. március 31-ig 11, majd 2015. június 30-ig további 44 önkormányzat csatlakozott az önkormányzati ASP </w:t>
      </w:r>
      <w:r w:rsidR="000356AD">
        <w:rPr>
          <w:rFonts w:ascii="Times New Roman" w:hAnsi="Times New Roman" w:cs="Times New Roman"/>
        </w:rPr>
        <w:t>szolgáltatáshoz</w:t>
      </w:r>
      <w:r w:rsidRPr="00AF7FED">
        <w:rPr>
          <w:rFonts w:ascii="Times New Roman" w:hAnsi="Times New Roman" w:cs="Times New Roman"/>
        </w:rPr>
        <w:t>.</w:t>
      </w:r>
    </w:p>
    <w:p w:rsidR="00AF7FED" w:rsidRPr="00AF7FED" w:rsidRDefault="00AF7FED" w:rsidP="00AF7FED">
      <w:pPr>
        <w:widowControl w:val="0"/>
        <w:adjustRightInd w:val="0"/>
        <w:spacing w:before="60" w:after="120" w:line="280" w:lineRule="atLeast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Ezt követően 2016. január 01-től további </w:t>
      </w:r>
      <w:r w:rsidR="000356AD">
        <w:rPr>
          <w:rFonts w:ascii="Times New Roman" w:hAnsi="Times New Roman" w:cs="Times New Roman"/>
        </w:rPr>
        <w:t>44</w:t>
      </w:r>
      <w:r>
        <w:rPr>
          <w:rFonts w:ascii="Times New Roman" w:hAnsi="Times New Roman" w:cs="Times New Roman"/>
        </w:rPr>
        <w:t xml:space="preserve"> önkormányzat csatlakozott az ASP gazdálkodási szakrendszeréhez.</w:t>
      </w:r>
    </w:p>
    <w:p w:rsidR="00AF7FED" w:rsidRPr="00AF7FED" w:rsidRDefault="00AF7FED" w:rsidP="00AF7FED">
      <w:pPr>
        <w:widowControl w:val="0"/>
        <w:adjustRightInd w:val="0"/>
        <w:spacing w:before="60" w:after="120" w:line="280" w:lineRule="atLeast"/>
        <w:jc w:val="both"/>
        <w:textAlignment w:val="baseline"/>
        <w:rPr>
          <w:rFonts w:ascii="Times New Roman" w:hAnsi="Times New Roman" w:cs="Times New Roman"/>
        </w:rPr>
      </w:pPr>
    </w:p>
    <w:p w:rsidR="00AF7FED" w:rsidRPr="00AF7FED" w:rsidRDefault="00AF7FED" w:rsidP="00AF7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F7FED">
        <w:rPr>
          <w:rFonts w:ascii="Times New Roman" w:eastAsia="Times New Roman" w:hAnsi="Times New Roman" w:cs="Times New Roman"/>
          <w:lang w:eastAsia="hu-HU"/>
        </w:rPr>
        <w:t>Az önkormányzati ASP rendszer szakrendszerei:</w:t>
      </w:r>
    </w:p>
    <w:p w:rsidR="00AF7FED" w:rsidRPr="00AF7FED" w:rsidRDefault="00AF7FED" w:rsidP="00AF7FE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F7FED">
        <w:rPr>
          <w:rFonts w:ascii="Times New Roman" w:eastAsia="Times New Roman" w:hAnsi="Times New Roman" w:cs="Times New Roman"/>
          <w:lang w:eastAsia="hu-HU"/>
        </w:rPr>
        <w:t>iratkezelő rendszer,</w:t>
      </w:r>
    </w:p>
    <w:p w:rsidR="00AF7FED" w:rsidRPr="00AF7FED" w:rsidRDefault="00AF7FED" w:rsidP="00AF7FE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F7FED">
        <w:rPr>
          <w:rFonts w:ascii="Times New Roman" w:eastAsia="Times New Roman" w:hAnsi="Times New Roman" w:cs="Times New Roman"/>
          <w:lang w:eastAsia="hu-HU"/>
        </w:rPr>
        <w:t>önkormányzati települési portál rendszer,</w:t>
      </w:r>
    </w:p>
    <w:p w:rsidR="00AF7FED" w:rsidRPr="00AF7FED" w:rsidRDefault="00AF7FED" w:rsidP="00AF7FE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F7FED">
        <w:rPr>
          <w:rFonts w:ascii="Times New Roman" w:eastAsia="Times New Roman" w:hAnsi="Times New Roman" w:cs="Times New Roman"/>
          <w:lang w:eastAsia="hu-HU"/>
        </w:rPr>
        <w:t>az elektronikus ügyintézési portál rendszer, ide értve az elektronikus űrlap-szolgáltatást,</w:t>
      </w:r>
    </w:p>
    <w:p w:rsidR="00AF7FED" w:rsidRPr="00AF7FED" w:rsidRDefault="00AF7FED" w:rsidP="00AF7FE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F7FED">
        <w:rPr>
          <w:rFonts w:ascii="Times New Roman" w:eastAsia="Times New Roman" w:hAnsi="Times New Roman" w:cs="Times New Roman"/>
          <w:lang w:eastAsia="hu-HU"/>
        </w:rPr>
        <w:t>gazdálkodási rendszer,</w:t>
      </w:r>
    </w:p>
    <w:p w:rsidR="00AF7FED" w:rsidRPr="00AF7FED" w:rsidRDefault="00AF7FED" w:rsidP="00AF7FE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F7FED">
        <w:rPr>
          <w:rFonts w:ascii="Times New Roman" w:eastAsia="Times New Roman" w:hAnsi="Times New Roman" w:cs="Times New Roman"/>
          <w:lang w:eastAsia="hu-HU"/>
        </w:rPr>
        <w:t>ingatlanvagyon-kataszter rendszer,</w:t>
      </w:r>
    </w:p>
    <w:p w:rsidR="00AF7FED" w:rsidRPr="00AF7FED" w:rsidRDefault="00AF7FED" w:rsidP="00AF7FE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F7FED">
        <w:rPr>
          <w:rFonts w:ascii="Times New Roman" w:eastAsia="Times New Roman" w:hAnsi="Times New Roman" w:cs="Times New Roman"/>
          <w:lang w:eastAsia="hu-HU"/>
        </w:rPr>
        <w:t>önkormányzati adó rendszer,</w:t>
      </w:r>
    </w:p>
    <w:p w:rsidR="00AF7FED" w:rsidRPr="00AF7FED" w:rsidRDefault="00AF7FED" w:rsidP="00AF7FE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F7FED">
        <w:rPr>
          <w:rFonts w:ascii="Times New Roman" w:eastAsia="Times New Roman" w:hAnsi="Times New Roman" w:cs="Times New Roman"/>
          <w:lang w:eastAsia="hu-HU"/>
        </w:rPr>
        <w:t>ipar- és kereskedelmi rendszer</w:t>
      </w:r>
    </w:p>
    <w:p w:rsidR="00AF7FED" w:rsidRPr="00AF7FED" w:rsidRDefault="00AF7FED" w:rsidP="00AF7FE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AF7FED">
        <w:rPr>
          <w:rFonts w:ascii="Times New Roman" w:eastAsia="Times New Roman" w:hAnsi="Times New Roman" w:cs="Times New Roman"/>
          <w:lang w:eastAsia="hu-HU"/>
        </w:rPr>
        <w:t>hagyatéki leltár rendszer.</w:t>
      </w:r>
    </w:p>
    <w:p w:rsidR="00AF7FED" w:rsidRDefault="00AF7FED" w:rsidP="00AF7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F7FED" w:rsidRPr="00AF7FED" w:rsidRDefault="00AF7FED" w:rsidP="00AF7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F7FED" w:rsidRPr="00AF7FED" w:rsidRDefault="00AF7FED" w:rsidP="00AF7FED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1" w:name="_Toc443847604"/>
      <w:bookmarkStart w:id="2" w:name="_Toc441001221"/>
      <w:bookmarkStart w:id="3" w:name="_Toc443862964"/>
      <w:bookmarkStart w:id="4" w:name="_Toc456044186"/>
      <w:bookmarkStart w:id="5" w:name="_Toc462310875"/>
      <w:r w:rsidRPr="00AF7FE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Az ASP 2.0 projekt </w:t>
      </w: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kiemelt </w:t>
      </w:r>
      <w:r w:rsidRPr="00AF7FE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célja</w:t>
      </w: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</w:t>
      </w:r>
      <w:bookmarkEnd w:id="1"/>
      <w:bookmarkEnd w:id="2"/>
      <w:bookmarkEnd w:id="3"/>
      <w:bookmarkEnd w:id="4"/>
      <w:bookmarkEnd w:id="5"/>
    </w:p>
    <w:p w:rsidR="00AF7FED" w:rsidRPr="00AF7FED" w:rsidRDefault="00AF7FED" w:rsidP="00AF7FED">
      <w:pPr>
        <w:widowControl w:val="0"/>
        <w:adjustRightInd w:val="0"/>
        <w:spacing w:before="60" w:after="120" w:line="280" w:lineRule="atLeast"/>
        <w:jc w:val="both"/>
        <w:textAlignment w:val="baseline"/>
        <w:rPr>
          <w:rFonts w:ascii="Times New Roman" w:hAnsi="Times New Roman" w:cs="Times New Roman"/>
        </w:rPr>
      </w:pPr>
      <w:r w:rsidRPr="00AF7FED">
        <w:rPr>
          <w:rFonts w:ascii="Times New Roman" w:hAnsi="Times New Roman" w:cs="Times New Roman"/>
        </w:rPr>
        <w:t>Az ASP 2.0 projekt célja az önkormányzati ASP szolgáltatásrendszer országos kiterjesztése, kiegészítve a szolgáltatások továbbfejlesztésével és egy adattárház megvalósításával, illetve az üzemeltetési, támogatási feladatokat ellátó ASP Központ bővítésével, továbbfejlesztésével.</w:t>
      </w:r>
    </w:p>
    <w:p w:rsidR="00AF7FED" w:rsidRPr="00AF7FED" w:rsidRDefault="00AF7FED" w:rsidP="00AF7FED">
      <w:pPr>
        <w:spacing w:before="60" w:after="120" w:line="280" w:lineRule="atLeast"/>
        <w:jc w:val="both"/>
        <w:rPr>
          <w:rFonts w:ascii="Times New Roman" w:hAnsi="Times New Roman" w:cs="Times New Roman"/>
        </w:rPr>
      </w:pPr>
      <w:r w:rsidRPr="00AF7FED">
        <w:rPr>
          <w:rFonts w:ascii="Times New Roman" w:hAnsi="Times New Roman" w:cs="Times New Roman"/>
        </w:rPr>
        <w:t>Az önkormányzati ASP országos kiterjesztése az alá</w:t>
      </w:r>
      <w:r>
        <w:rPr>
          <w:rFonts w:ascii="Times New Roman" w:hAnsi="Times New Roman" w:cs="Times New Roman"/>
        </w:rPr>
        <w:t>bbi eredményeket kívánja elérni</w:t>
      </w:r>
      <w:r w:rsidRPr="00AF7FED">
        <w:rPr>
          <w:rFonts w:ascii="Times New Roman" w:hAnsi="Times New Roman" w:cs="Times New Roman"/>
        </w:rPr>
        <w:t>:</w:t>
      </w:r>
    </w:p>
    <w:p w:rsidR="00AF7FED" w:rsidRPr="00AF7FED" w:rsidRDefault="00AF7FED" w:rsidP="00AF7FED">
      <w:pPr>
        <w:numPr>
          <w:ilvl w:val="0"/>
          <w:numId w:val="3"/>
        </w:numPr>
        <w:spacing w:before="60" w:after="120" w:line="280" w:lineRule="atLeast"/>
        <w:jc w:val="both"/>
        <w:rPr>
          <w:rFonts w:ascii="Times New Roman" w:hAnsi="Times New Roman" w:cs="Times New Roman"/>
        </w:rPr>
      </w:pPr>
      <w:r w:rsidRPr="00AF7FED">
        <w:rPr>
          <w:rFonts w:ascii="Times New Roman" w:hAnsi="Times New Roman" w:cs="Times New Roman"/>
        </w:rPr>
        <w:t xml:space="preserve">az ASP alkalmazás-portfóliójának továbbfejlesztése, </w:t>
      </w:r>
      <w:r>
        <w:rPr>
          <w:rFonts w:ascii="Times New Roman" w:hAnsi="Times New Roman" w:cs="Times New Roman"/>
        </w:rPr>
        <w:t>a</w:t>
      </w:r>
      <w:r w:rsidRPr="00AF7FED">
        <w:rPr>
          <w:rFonts w:ascii="Times New Roman" w:hAnsi="Times New Roman" w:cs="Times New Roman"/>
        </w:rPr>
        <w:t xml:space="preserve"> szakrendszerek </w:t>
      </w:r>
      <w:r>
        <w:rPr>
          <w:rFonts w:ascii="Times New Roman" w:hAnsi="Times New Roman" w:cs="Times New Roman"/>
        </w:rPr>
        <w:t>funkcióbővítése</w:t>
      </w:r>
      <w:r w:rsidRPr="00AF7F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(új funkciók, új modulok, vagy akár új szakrendszerek bevezetése);</w:t>
      </w:r>
    </w:p>
    <w:p w:rsidR="00AF7FED" w:rsidRPr="00AF7FED" w:rsidRDefault="00AF7FED" w:rsidP="00AF7FED">
      <w:pPr>
        <w:numPr>
          <w:ilvl w:val="0"/>
          <w:numId w:val="3"/>
        </w:numPr>
        <w:spacing w:before="60" w:after="120" w:line="280" w:lineRule="atLeast"/>
        <w:jc w:val="both"/>
        <w:rPr>
          <w:rFonts w:ascii="Times New Roman" w:hAnsi="Times New Roman" w:cs="Times New Roman"/>
        </w:rPr>
      </w:pPr>
      <w:r w:rsidRPr="00AF7FED">
        <w:rPr>
          <w:rFonts w:ascii="Times New Roman" w:hAnsi="Times New Roman" w:cs="Times New Roman"/>
        </w:rPr>
        <w:t>az ASP szakrendszerekre építve egy adattárház kiépítése;</w:t>
      </w:r>
    </w:p>
    <w:p w:rsidR="00AF7FED" w:rsidRPr="00AF7FED" w:rsidRDefault="00AF7FED" w:rsidP="00AF7FED">
      <w:pPr>
        <w:numPr>
          <w:ilvl w:val="0"/>
          <w:numId w:val="3"/>
        </w:numPr>
        <w:spacing w:before="60" w:after="120" w:line="280" w:lineRule="atLeast"/>
        <w:ind w:hanging="357"/>
        <w:jc w:val="both"/>
        <w:rPr>
          <w:rFonts w:ascii="Times New Roman" w:hAnsi="Times New Roman" w:cs="Times New Roman"/>
        </w:rPr>
      </w:pPr>
      <w:r w:rsidRPr="00AF7FED">
        <w:rPr>
          <w:rFonts w:ascii="Times New Roman" w:hAnsi="Times New Roman" w:cs="Times New Roman"/>
        </w:rPr>
        <w:lastRenderedPageBreak/>
        <w:t>a központi ASP infrastruktúra bővítése és szélessávú hálózatfejlesztés: a Nemzeti Távközlési Gerinchálózat (NTG) hálózati végpontjainak kiépítése a</w:t>
      </w:r>
      <w:r>
        <w:rPr>
          <w:rFonts w:ascii="Times New Roman" w:hAnsi="Times New Roman" w:cs="Times New Roman"/>
        </w:rPr>
        <w:t>z önálló</w:t>
      </w:r>
      <w:r w:rsidRPr="00AF7FED">
        <w:rPr>
          <w:rFonts w:ascii="Times New Roman" w:hAnsi="Times New Roman" w:cs="Times New Roman"/>
        </w:rPr>
        <w:t xml:space="preserve"> polgármesteri hivatalokhoz, illetve a közös önkormányzati h</w:t>
      </w:r>
      <w:r>
        <w:rPr>
          <w:rFonts w:ascii="Times New Roman" w:hAnsi="Times New Roman" w:cs="Times New Roman"/>
        </w:rPr>
        <w:t>ivatalok székhelytelepüléseihez</w:t>
      </w:r>
      <w:r w:rsidRPr="00AF7FED">
        <w:rPr>
          <w:rFonts w:ascii="Times New Roman" w:hAnsi="Times New Roman" w:cs="Times New Roman"/>
        </w:rPr>
        <w:t>;</w:t>
      </w:r>
    </w:p>
    <w:p w:rsidR="00AF7FED" w:rsidRPr="00AF7FED" w:rsidRDefault="00AF7FED" w:rsidP="00AF7FE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F7FED">
        <w:rPr>
          <w:rFonts w:ascii="Times New Roman" w:eastAsia="Times New Roman" w:hAnsi="Times New Roman" w:cs="Times New Roman"/>
          <w:color w:val="000000"/>
          <w:lang w:eastAsia="hu-HU"/>
        </w:rPr>
        <w:t>e</w:t>
      </w:r>
      <w:r w:rsidRPr="00AF7FED">
        <w:rPr>
          <w:rFonts w:ascii="Times New Roman" w:eastAsia="Times New Roman" w:hAnsi="Times New Roman" w:cs="Times New Roman"/>
          <w:lang w:eastAsia="hu-HU"/>
        </w:rPr>
        <w:t xml:space="preserve">lektronikus közigazgatás fejlesztése: az elektronikus közigazgatási szolgáltatások körének bővítése, valamint az </w:t>
      </w:r>
      <w:r>
        <w:rPr>
          <w:rFonts w:ascii="Times New Roman" w:eastAsia="Times New Roman" w:hAnsi="Times New Roman" w:cs="Times New Roman"/>
          <w:lang w:eastAsia="hu-HU"/>
        </w:rPr>
        <w:t>adatkapcsolat</w:t>
      </w:r>
      <w:r w:rsidRPr="00AF7FED">
        <w:rPr>
          <w:rFonts w:ascii="Times New Roman" w:eastAsia="Times New Roman" w:hAnsi="Times New Roman" w:cs="Times New Roman"/>
          <w:lang w:eastAsia="hu-HU"/>
        </w:rPr>
        <w:t xml:space="preserve"> megteremtése az önkormányzatok működése szempontjából kiemelten fontos közhiteles nyilvántartásokkal (pl. központi címregiszter, földhivatali adatok, cégadatok, adózási adatok, stb.), valamint egyéb rendszerekkel (pl. Központi Statisztikai Hivatal - a továbbiakban: KSH) adatszolgáltatások);</w:t>
      </w:r>
    </w:p>
    <w:sectPr w:rsidR="00AF7FED" w:rsidRPr="00AF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1174B"/>
    <w:multiLevelType w:val="hybridMultilevel"/>
    <w:tmpl w:val="04520E88"/>
    <w:lvl w:ilvl="0" w:tplc="040E001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089806">
      <w:numFmt w:val="bullet"/>
      <w:lvlText w:val="–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D774A"/>
    <w:multiLevelType w:val="hybridMultilevel"/>
    <w:tmpl w:val="48E25B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60F68"/>
    <w:multiLevelType w:val="hybridMultilevel"/>
    <w:tmpl w:val="844CCD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60E37"/>
    <w:multiLevelType w:val="hybridMultilevel"/>
    <w:tmpl w:val="1A962BD0"/>
    <w:lvl w:ilvl="0" w:tplc="040E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52595D41"/>
    <w:multiLevelType w:val="hybridMultilevel"/>
    <w:tmpl w:val="7C346B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51289"/>
    <w:multiLevelType w:val="hybridMultilevel"/>
    <w:tmpl w:val="8CF64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ED"/>
    <w:rsid w:val="000356AD"/>
    <w:rsid w:val="008366AF"/>
    <w:rsid w:val="00AF7FED"/>
    <w:rsid w:val="00C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AB7A4-CA66-4C3E-9649-08C854D8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F7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F7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Marcsi</dc:creator>
  <cp:keywords/>
  <dc:description/>
  <cp:lastModifiedBy>Marcsi</cp:lastModifiedBy>
  <cp:revision>3</cp:revision>
  <dcterms:created xsi:type="dcterms:W3CDTF">2016-12-19T22:34:00Z</dcterms:created>
  <dcterms:modified xsi:type="dcterms:W3CDTF">2016-12-20T22:11:00Z</dcterms:modified>
</cp:coreProperties>
</file>