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E3" w:rsidRDefault="00864BE3" w:rsidP="00864BE3">
      <w:pPr>
        <w:pStyle w:val="lfej"/>
        <w:tabs>
          <w:tab w:val="clear" w:pos="4536"/>
          <w:tab w:val="clear" w:pos="9072"/>
          <w:tab w:val="left" w:pos="2386"/>
        </w:tabs>
        <w:jc w:val="center"/>
      </w:pPr>
      <w:bookmarkStart w:id="0" w:name="_Toc462310876"/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1C27B2E5" wp14:editId="3A06AE12">
            <wp:simplePos x="0" y="0"/>
            <wp:positionH relativeFrom="column">
              <wp:posOffset>1903730</wp:posOffset>
            </wp:positionH>
            <wp:positionV relativeFrom="paragraph">
              <wp:posOffset>-300355</wp:posOffset>
            </wp:positionV>
            <wp:extent cx="1685290" cy="655320"/>
            <wp:effectExtent l="0" t="0" r="0" b="0"/>
            <wp:wrapTight wrapText="bothSides">
              <wp:wrapPolygon edited="0">
                <wp:start x="0" y="0"/>
                <wp:lineTo x="0" y="20721"/>
                <wp:lineTo x="21242" y="20721"/>
                <wp:lineTo x="21242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2D50A8D4" wp14:editId="0A69A104">
            <wp:simplePos x="0" y="0"/>
            <wp:positionH relativeFrom="column">
              <wp:posOffset>-81280</wp:posOffset>
            </wp:positionH>
            <wp:positionV relativeFrom="paragraph">
              <wp:posOffset>-184150</wp:posOffset>
            </wp:positionV>
            <wp:extent cx="627380" cy="608330"/>
            <wp:effectExtent l="0" t="0" r="0" b="0"/>
            <wp:wrapThrough wrapText="bothSides">
              <wp:wrapPolygon edited="0">
                <wp:start x="2623" y="2706"/>
                <wp:lineTo x="1312" y="10146"/>
                <wp:lineTo x="1312" y="14881"/>
                <wp:lineTo x="2623" y="17587"/>
                <wp:lineTo x="19676" y="17587"/>
                <wp:lineTo x="19020" y="5411"/>
                <wp:lineTo x="18364" y="2706"/>
                <wp:lineTo x="2623" y="2706"/>
              </wp:wrapPolygon>
            </wp:wrapThrough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1152BB52" wp14:editId="2DE8FA5A">
            <wp:simplePos x="0" y="0"/>
            <wp:positionH relativeFrom="column">
              <wp:posOffset>4483735</wp:posOffset>
            </wp:positionH>
            <wp:positionV relativeFrom="paragraph">
              <wp:posOffset>-252095</wp:posOffset>
            </wp:positionV>
            <wp:extent cx="1753235" cy="610235"/>
            <wp:effectExtent l="0" t="0" r="0" b="0"/>
            <wp:wrapThrough wrapText="bothSides">
              <wp:wrapPolygon edited="0">
                <wp:start x="0" y="0"/>
                <wp:lineTo x="0" y="20903"/>
                <wp:lineTo x="21357" y="20903"/>
                <wp:lineTo x="21357" y="0"/>
                <wp:lineTo x="0" y="0"/>
              </wp:wrapPolygon>
            </wp:wrapThrough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um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6"/>
                    <a:stretch/>
                  </pic:blipFill>
                  <pic:spPr bwMode="auto">
                    <a:xfrm>
                      <a:off x="0" y="0"/>
                      <a:ext cx="1753235" cy="610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BE3" w:rsidRDefault="00864BE3" w:rsidP="00186E8F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864BE3" w:rsidRDefault="00864BE3" w:rsidP="00864BE3">
      <w:pPr>
        <w:pStyle w:val="Nincstrkz"/>
      </w:pPr>
    </w:p>
    <w:p w:rsidR="00186E8F" w:rsidRPr="00186E8F" w:rsidRDefault="00186E8F" w:rsidP="00186E8F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Önkormányzati ASP s</w:t>
      </w:r>
      <w:r w:rsidRPr="00186E8F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zabályozási keretek bemutatása</w:t>
      </w:r>
      <w:bookmarkEnd w:id="0"/>
      <w:r w:rsidRPr="00186E8F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</w:p>
    <w:p w:rsidR="00186E8F" w:rsidRP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186E8F" w:rsidRPr="00186E8F" w:rsidRDefault="00186E8F" w:rsidP="00186E8F">
      <w:pPr>
        <w:spacing w:after="320" w:line="240" w:lineRule="auto"/>
        <w:ind w:firstLine="180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186E8F">
        <w:rPr>
          <w:rFonts w:ascii="Times New Roman" w:eastAsia="Times New Roman" w:hAnsi="Times New Roman" w:cs="Times New Roman"/>
          <w:bCs/>
          <w:lang w:eastAsia="hu-HU"/>
        </w:rPr>
        <w:t>Az önkormányzati ASP szolgáltatás szabályozott, átlátható működése érdekében szabályozási feladatok is szükségesek voltak. A Magyarország helyi önkormányzatairól szóló 2011. évi CLXXXIX. törvény módosításáról szóló 2016. évi LIV. törvény hatálybalépése 2016. július 1-jén megtörtént. Az Mötv. felhatalmazása alapján kiadásra került az önkormányzati ASP rendszerről szóló kormányrendelet, amely a csatlakoztatási és későbbi működtetési folyamat kereteit rögzíti. A</w:t>
      </w:r>
      <w:r w:rsidRPr="00186E8F">
        <w:rPr>
          <w:rFonts w:ascii="Times New Roman" w:eastAsia="Times New Roman" w:hAnsi="Times New Roman" w:cs="Times New Roman"/>
          <w:bCs/>
          <w:color w:val="000000"/>
          <w:lang w:eastAsia="hu-HU"/>
        </w:rPr>
        <w:t>z önkormányzati ASP rendszerről szóló 257/2016. (VIII. 31.) Korm. rendelet 2016. szeptember 03-án lépett hatályba.</w:t>
      </w:r>
    </w:p>
    <w:p w:rsidR="00186E8F" w:rsidRP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186E8F" w:rsidRP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186E8F">
        <w:rPr>
          <w:rFonts w:ascii="Times New Roman" w:hAnsi="Times New Roman" w:cs="Times New Roman"/>
          <w:bCs/>
        </w:rPr>
        <w:t>A rendeletben szereplő szabályozás röviden az alábbi:</w:t>
      </w:r>
    </w:p>
    <w:p w:rsidR="00186E8F" w:rsidRP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186E8F">
        <w:rPr>
          <w:rFonts w:ascii="Times New Roman" w:hAnsi="Times New Roman" w:cs="Times New Roman"/>
          <w:i/>
        </w:rPr>
        <w:t>Fogalmak:</w:t>
      </w:r>
    </w:p>
    <w:p w:rsidR="00186E8F" w:rsidRPr="00186E8F" w:rsidRDefault="00186E8F" w:rsidP="00186E8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  <w:i/>
        </w:rPr>
        <w:t>alapinfrastruktúra:</w:t>
      </w:r>
      <w:r w:rsidRPr="00186E8F">
        <w:rPr>
          <w:rFonts w:ascii="Times New Roman" w:hAnsi="Times New Roman" w:cs="Times New Roman"/>
        </w:rPr>
        <w:t xml:space="preserve"> az önkormányzati ASP rendszer működését biztosító adatközponti és hálózati informatikai infrastruktúra, valamint a szakrendszeri átjárhatóságot és a külső rendszerkapcsolatok kiépítésének lehetőségét biztosító integrációs platformszolgáltatás;</w:t>
      </w:r>
    </w:p>
    <w:p w:rsidR="00186E8F" w:rsidRPr="00186E8F" w:rsidRDefault="00186E8F" w:rsidP="00186E8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  <w:i/>
          <w:iCs/>
        </w:rPr>
        <w:t xml:space="preserve">alkalmazásüzemeltetés: </w:t>
      </w:r>
      <w:r w:rsidRPr="00186E8F">
        <w:rPr>
          <w:rFonts w:ascii="Times New Roman" w:hAnsi="Times New Roman" w:cs="Times New Roman"/>
          <w:iCs/>
        </w:rPr>
        <w:t xml:space="preserve">az </w:t>
      </w:r>
      <w:r w:rsidRPr="00186E8F">
        <w:rPr>
          <w:rFonts w:ascii="Times New Roman" w:hAnsi="Times New Roman" w:cs="Times New Roman"/>
        </w:rPr>
        <w:t>alkalmazások elérhetővé tétele és működtetése, jogosultságkezelés, hibakezelés; a szolgáltatások fejlesztése, az rendszertámogatási szerződések megkötése;</w:t>
      </w:r>
    </w:p>
    <w:p w:rsidR="00186E8F" w:rsidRPr="00186E8F" w:rsidRDefault="00186E8F" w:rsidP="00186E8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  <w:i/>
        </w:rPr>
        <w:t>csatlakozás:</w:t>
      </w:r>
      <w:r w:rsidRPr="00186E8F">
        <w:rPr>
          <w:rFonts w:ascii="Times New Roman" w:hAnsi="Times New Roman" w:cs="Times New Roman"/>
        </w:rPr>
        <w:t xml:space="preserve"> a szolgáltatások tényleges használatának megkezdése;</w:t>
      </w:r>
    </w:p>
    <w:p w:rsidR="00186E8F" w:rsidRPr="00186E8F" w:rsidRDefault="00186E8F" w:rsidP="00186E8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  <w:i/>
        </w:rPr>
        <w:t>interfész:</w:t>
      </w:r>
      <w:r w:rsidRPr="00186E8F">
        <w:rPr>
          <w:rFonts w:ascii="Times New Roman" w:hAnsi="Times New Roman" w:cs="Times New Roman"/>
        </w:rPr>
        <w:t xml:space="preserve"> adatok automatizált módon, elektronikus úton történő átadását lehetővé tevő kapcsolódási felület;</w:t>
      </w:r>
    </w:p>
    <w:p w:rsidR="00186E8F" w:rsidRPr="00186E8F" w:rsidRDefault="00186E8F" w:rsidP="00186E8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  <w:i/>
        </w:rPr>
        <w:t>központi szolgáltató:</w:t>
      </w:r>
      <w:r w:rsidRPr="00186E8F">
        <w:rPr>
          <w:rFonts w:ascii="Times New Roman" w:hAnsi="Times New Roman" w:cs="Times New Roman"/>
        </w:rPr>
        <w:t xml:space="preserve"> a NISZ Nemzeti Infokommunikációs Szolgáltató Zrt. (a továbbiakban: NISZ Zrt.)</w:t>
      </w:r>
      <w:r w:rsidRPr="00186E8F" w:rsidDel="00EB7EA1">
        <w:rPr>
          <w:rFonts w:ascii="Times New Roman" w:hAnsi="Times New Roman" w:cs="Times New Roman"/>
        </w:rPr>
        <w:t xml:space="preserve"> </w:t>
      </w:r>
      <w:r w:rsidRPr="00186E8F">
        <w:rPr>
          <w:rFonts w:ascii="Times New Roman" w:hAnsi="Times New Roman" w:cs="Times New Roman"/>
        </w:rPr>
        <w:t>és az IdomSoft Informatikai Zrt. (a továbbiakban: IdomSoft Zrt.);</w:t>
      </w:r>
    </w:p>
    <w:p w:rsidR="00186E8F" w:rsidRPr="00186E8F" w:rsidRDefault="00186E8F" w:rsidP="00186E8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  <w:i/>
        </w:rPr>
        <w:t>önkormányzati</w:t>
      </w:r>
      <w:r w:rsidRPr="00186E8F">
        <w:rPr>
          <w:rFonts w:ascii="Times New Roman" w:hAnsi="Times New Roman" w:cs="Times New Roman"/>
        </w:rPr>
        <w:t xml:space="preserve"> </w:t>
      </w:r>
      <w:r w:rsidRPr="00186E8F">
        <w:rPr>
          <w:rFonts w:ascii="Times New Roman" w:hAnsi="Times New Roman" w:cs="Times New Roman"/>
          <w:i/>
          <w:iCs/>
        </w:rPr>
        <w:t xml:space="preserve">ASP rendszer: </w:t>
      </w:r>
      <w:r w:rsidRPr="00186E8F">
        <w:rPr>
          <w:rFonts w:ascii="Times New Roman" w:hAnsi="Times New Roman" w:cs="Times New Roman"/>
          <w:iCs/>
        </w:rPr>
        <w:t>a Magyarország helyi önkormányzatairól szóló 2011. évi CLXXXIX. törvény (a továbbiakban: Mötv.) 114. § (2) bekezdése szerinti, a helyi önkormányzatok feladatellátását támogató,</w:t>
      </w:r>
      <w:r w:rsidRPr="00186E8F">
        <w:rPr>
          <w:rFonts w:ascii="Times New Roman" w:hAnsi="Times New Roman" w:cs="Times New Roman"/>
          <w:i/>
          <w:iCs/>
        </w:rPr>
        <w:t xml:space="preserve"> </w:t>
      </w:r>
      <w:r w:rsidRPr="00186E8F">
        <w:rPr>
          <w:rFonts w:ascii="Times New Roman" w:hAnsi="Times New Roman" w:cs="Times New Roman"/>
        </w:rPr>
        <w:t>számítástechnikai hálózaton keresztül távoli alkalmazásszolgáltatást (Application Service Provider, ASP) nyújtó elektronikus információs rendszer;</w:t>
      </w:r>
    </w:p>
    <w:p w:rsidR="00186E8F" w:rsidRPr="00186E8F" w:rsidRDefault="00186E8F" w:rsidP="00186E8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  <w:i/>
        </w:rPr>
        <w:t>rendszertámogatás:</w:t>
      </w:r>
      <w:r w:rsidRPr="00186E8F">
        <w:rPr>
          <w:rFonts w:ascii="Times New Roman" w:hAnsi="Times New Roman" w:cs="Times New Roman"/>
        </w:rPr>
        <w:t xml:space="preserve"> az alkalmazás fejlesztése, verziófrissítés, jogszabálykövetés;</w:t>
      </w:r>
    </w:p>
    <w:p w:rsidR="00186E8F" w:rsidRPr="00186E8F" w:rsidRDefault="00186E8F" w:rsidP="00186E8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  <w:i/>
          <w:iCs/>
        </w:rPr>
        <w:t xml:space="preserve">szakrendszer: </w:t>
      </w:r>
      <w:r w:rsidRPr="00186E8F">
        <w:rPr>
          <w:rFonts w:ascii="Times New Roman" w:hAnsi="Times New Roman" w:cs="Times New Roman"/>
        </w:rPr>
        <w:t>az önkormányzati ASP rendszer által nyújtott, igazgatási feladatokat támogató szakalkalmazás;</w:t>
      </w:r>
    </w:p>
    <w:p w:rsidR="00186E8F" w:rsidRPr="00186E8F" w:rsidRDefault="00186E8F" w:rsidP="00186E8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  <w:i/>
        </w:rPr>
        <w:t>ügyféltámogatás:</w:t>
      </w:r>
      <w:r w:rsidRPr="00186E8F">
        <w:rPr>
          <w:rFonts w:ascii="Times New Roman" w:hAnsi="Times New Roman" w:cs="Times New Roman"/>
        </w:rPr>
        <w:t xml:space="preserve"> a működéssel kapcsolatos felhasználói segítségkérelmek megválaszolása.</w:t>
      </w:r>
    </w:p>
    <w:p w:rsidR="00186E8F" w:rsidRP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iCs/>
        </w:rPr>
      </w:pPr>
    </w:p>
    <w:p w:rsidR="00186E8F" w:rsidRP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</w:rPr>
        <w:t>A Kormány az önkormányzati ASP rendszert a Magyar Államkincstár (a továbbiakban: Kincstár) útján működteti.</w:t>
      </w:r>
    </w:p>
    <w:p w:rsidR="00186E8F" w:rsidRP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</w:rPr>
        <w:t>A Kincstár működtetési feladatai:</w:t>
      </w:r>
    </w:p>
    <w:p w:rsidR="00186E8F" w:rsidRPr="00186E8F" w:rsidRDefault="00186E8F" w:rsidP="00186E8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iCs/>
        </w:rPr>
      </w:pPr>
      <w:r w:rsidRPr="00186E8F">
        <w:rPr>
          <w:rFonts w:ascii="Times New Roman" w:hAnsi="Times New Roman" w:cs="Times New Roman"/>
        </w:rPr>
        <w:t xml:space="preserve">a csatlakozás-, és szolgáltatás-menedzsment ellátása, </w:t>
      </w:r>
    </w:p>
    <w:p w:rsidR="00186E8F" w:rsidRPr="00186E8F" w:rsidRDefault="00186E8F" w:rsidP="00186E8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</w:rPr>
        <w:t>a szolgáltatási szerződések csatlakozó szervezetekkel való megkötése és módosítása,</w:t>
      </w:r>
    </w:p>
    <w:p w:rsidR="00186E8F" w:rsidRPr="00186E8F" w:rsidRDefault="00186E8F" w:rsidP="00186E8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</w:rPr>
        <w:t>ügyfélszolgálat biztosításával a szolgáltatással kapcsolatos ügyfél-kapcsolattartási, tájékoztatási és adminisztratív feladatok ellátása, biztosítva a hibabejelentés lehetőségét,</w:t>
      </w:r>
    </w:p>
    <w:p w:rsidR="00186E8F" w:rsidRPr="00186E8F" w:rsidRDefault="00186E8F" w:rsidP="00186E8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</w:rPr>
        <w:t>a szolgáltatásokkal kapcsolatos kommunikációs és képzési feladatok elvégzése.</w:t>
      </w:r>
    </w:p>
    <w:p w:rsidR="00186E8F" w:rsidRPr="00186E8F" w:rsidRDefault="00186E8F" w:rsidP="00864BE3">
      <w:pPr>
        <w:pStyle w:val="Nincstrkz"/>
      </w:pPr>
    </w:p>
    <w:p w:rsidR="00186E8F" w:rsidRP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</w:rPr>
        <w:t>Az önkormányzati ASP rendszer alapinfrastruktúra üzemeltetője a NISZ Zrt.</w:t>
      </w:r>
    </w:p>
    <w:p w:rsidR="00186E8F" w:rsidRP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</w:rPr>
        <w:t xml:space="preserve">Az önkormányzati ASP rendszer ügyféltámogatói feladatait, valamint az egyes elemei, szakrendszerei alkalmazásüzemeltetési és rendszertámogatási feladatait a Kincstár és a központi szolgáltató látják el az </w:t>
      </w:r>
      <w:r w:rsidRPr="00864BE3">
        <w:rPr>
          <w:rFonts w:ascii="Times New Roman" w:hAnsi="Times New Roman" w:cs="Times New Roman"/>
        </w:rPr>
        <w:t xml:space="preserve">alábbiak </w:t>
      </w:r>
      <w:r w:rsidRPr="00186E8F">
        <w:rPr>
          <w:rFonts w:ascii="Times New Roman" w:hAnsi="Times New Roman" w:cs="Times New Roman"/>
        </w:rPr>
        <w:t xml:space="preserve">szerint. 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481"/>
        <w:gridCol w:w="3766"/>
        <w:gridCol w:w="1269"/>
        <w:gridCol w:w="1560"/>
        <w:gridCol w:w="1986"/>
      </w:tblGrid>
      <w:tr w:rsidR="00186E8F" w:rsidRPr="00186E8F" w:rsidTr="00F13BC2">
        <w:tc>
          <w:tcPr>
            <w:tcW w:w="265" w:type="pct"/>
            <w:vMerge w:val="restart"/>
            <w:shd w:val="pct10" w:color="auto" w:fill="auto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</w:p>
        </w:tc>
        <w:tc>
          <w:tcPr>
            <w:tcW w:w="2078" w:type="pct"/>
            <w:vMerge w:val="restart"/>
            <w:shd w:val="pct10" w:color="auto" w:fill="auto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6E8F">
              <w:rPr>
                <w:rFonts w:ascii="Times New Roman" w:hAnsi="Times New Roman" w:cs="Times New Roman"/>
                <w:b/>
              </w:rPr>
              <w:t>Az önkormányzati ASP rendszer eleme</w:t>
            </w:r>
          </w:p>
        </w:tc>
        <w:tc>
          <w:tcPr>
            <w:tcW w:w="2657" w:type="pct"/>
            <w:gridSpan w:val="3"/>
            <w:shd w:val="pct10" w:color="auto" w:fill="auto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6E8F">
              <w:rPr>
                <w:rFonts w:ascii="Times New Roman" w:hAnsi="Times New Roman" w:cs="Times New Roman"/>
                <w:b/>
              </w:rPr>
              <w:t>szolgáltatási szint</w:t>
            </w:r>
          </w:p>
        </w:tc>
      </w:tr>
      <w:tr w:rsidR="00186E8F" w:rsidRPr="00186E8F" w:rsidTr="00F13BC2">
        <w:tc>
          <w:tcPr>
            <w:tcW w:w="265" w:type="pct"/>
            <w:vMerge/>
            <w:shd w:val="pct10" w:color="auto" w:fill="auto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pct"/>
            <w:vMerge/>
            <w:shd w:val="pct10" w:color="auto" w:fill="auto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pct"/>
            <w:shd w:val="pct10" w:color="auto" w:fill="auto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6E8F">
              <w:rPr>
                <w:rFonts w:ascii="Times New Roman" w:hAnsi="Times New Roman" w:cs="Times New Roman"/>
                <w:b/>
              </w:rPr>
              <w:t>ügyfél-támogatás</w:t>
            </w:r>
          </w:p>
        </w:tc>
        <w:tc>
          <w:tcPr>
            <w:tcW w:w="861" w:type="pct"/>
            <w:shd w:val="pct10" w:color="auto" w:fill="auto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6E8F">
              <w:rPr>
                <w:rFonts w:ascii="Times New Roman" w:hAnsi="Times New Roman" w:cs="Times New Roman"/>
                <w:b/>
              </w:rPr>
              <w:t>alkalmazás-üzemeltetés</w:t>
            </w:r>
          </w:p>
        </w:tc>
        <w:tc>
          <w:tcPr>
            <w:tcW w:w="1096" w:type="pct"/>
            <w:shd w:val="pct10" w:color="auto" w:fill="auto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86E8F">
              <w:rPr>
                <w:rFonts w:ascii="Times New Roman" w:hAnsi="Times New Roman" w:cs="Times New Roman"/>
                <w:b/>
              </w:rPr>
              <w:t>rendszertámogatás</w:t>
            </w:r>
          </w:p>
        </w:tc>
      </w:tr>
      <w:tr w:rsidR="00186E8F" w:rsidRPr="00186E8F" w:rsidTr="00F13BC2">
        <w:tc>
          <w:tcPr>
            <w:tcW w:w="265" w:type="pct"/>
            <w:vAlign w:val="center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78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iratkezelő rendszer</w:t>
            </w:r>
          </w:p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  <w:tc>
          <w:tcPr>
            <w:tcW w:w="861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NISZ Zrt.</w:t>
            </w:r>
          </w:p>
        </w:tc>
        <w:tc>
          <w:tcPr>
            <w:tcW w:w="1096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NISZ Zrt.</w:t>
            </w:r>
          </w:p>
        </w:tc>
      </w:tr>
      <w:tr w:rsidR="00186E8F" w:rsidRPr="00186E8F" w:rsidTr="00F13BC2">
        <w:tc>
          <w:tcPr>
            <w:tcW w:w="265" w:type="pct"/>
            <w:vAlign w:val="center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78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önkormányzati települési portál rendszer</w:t>
            </w:r>
          </w:p>
        </w:tc>
        <w:tc>
          <w:tcPr>
            <w:tcW w:w="700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  <w:tc>
          <w:tcPr>
            <w:tcW w:w="861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NISZ Zrt.</w:t>
            </w:r>
          </w:p>
        </w:tc>
        <w:tc>
          <w:tcPr>
            <w:tcW w:w="1096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NISZ Zrt.</w:t>
            </w:r>
          </w:p>
        </w:tc>
      </w:tr>
      <w:tr w:rsidR="00186E8F" w:rsidRPr="00186E8F" w:rsidTr="00F13BC2">
        <w:tc>
          <w:tcPr>
            <w:tcW w:w="265" w:type="pct"/>
            <w:vAlign w:val="center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78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 xml:space="preserve">elektronikus ügyintézési portál rendszer, ide értve az elektronikus űrlap-szolgáltatást </w:t>
            </w:r>
          </w:p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  <w:tc>
          <w:tcPr>
            <w:tcW w:w="861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NISZ Zrt.</w:t>
            </w:r>
          </w:p>
        </w:tc>
        <w:tc>
          <w:tcPr>
            <w:tcW w:w="1096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NISZ Zrt.</w:t>
            </w:r>
          </w:p>
        </w:tc>
      </w:tr>
      <w:tr w:rsidR="00186E8F" w:rsidRPr="00186E8F" w:rsidTr="00F13BC2">
        <w:tc>
          <w:tcPr>
            <w:tcW w:w="265" w:type="pct"/>
            <w:vAlign w:val="center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78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 xml:space="preserve">gazdálkodási rendszer </w:t>
            </w:r>
          </w:p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  <w:tc>
          <w:tcPr>
            <w:tcW w:w="861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IdomSoft Zrt.</w:t>
            </w:r>
          </w:p>
        </w:tc>
        <w:tc>
          <w:tcPr>
            <w:tcW w:w="1096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IdomSoft Zrt.</w:t>
            </w:r>
          </w:p>
        </w:tc>
      </w:tr>
      <w:tr w:rsidR="00186E8F" w:rsidRPr="00186E8F" w:rsidTr="00F13BC2">
        <w:tc>
          <w:tcPr>
            <w:tcW w:w="265" w:type="pct"/>
            <w:vAlign w:val="center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78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 xml:space="preserve">ingatlanvagyon-kataszter </w:t>
            </w:r>
          </w:p>
        </w:tc>
        <w:tc>
          <w:tcPr>
            <w:tcW w:w="700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  <w:tc>
          <w:tcPr>
            <w:tcW w:w="861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  <w:tc>
          <w:tcPr>
            <w:tcW w:w="1096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</w:tr>
      <w:tr w:rsidR="00186E8F" w:rsidRPr="00186E8F" w:rsidTr="00F13BC2">
        <w:tc>
          <w:tcPr>
            <w:tcW w:w="265" w:type="pct"/>
            <w:vAlign w:val="center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78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 xml:space="preserve">önkormányzati adó rendszer </w:t>
            </w:r>
          </w:p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  <w:tc>
          <w:tcPr>
            <w:tcW w:w="861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  <w:tc>
          <w:tcPr>
            <w:tcW w:w="1096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</w:tr>
      <w:tr w:rsidR="00186E8F" w:rsidRPr="00186E8F" w:rsidTr="00F13BC2">
        <w:tc>
          <w:tcPr>
            <w:tcW w:w="265" w:type="pct"/>
            <w:vAlign w:val="center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78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 xml:space="preserve">ipar- és kereskedelmi rendszer </w:t>
            </w:r>
          </w:p>
        </w:tc>
        <w:tc>
          <w:tcPr>
            <w:tcW w:w="700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  <w:tc>
          <w:tcPr>
            <w:tcW w:w="861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  <w:tc>
          <w:tcPr>
            <w:tcW w:w="1096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</w:tr>
      <w:tr w:rsidR="00186E8F" w:rsidRPr="00186E8F" w:rsidTr="00F13BC2">
        <w:tc>
          <w:tcPr>
            <w:tcW w:w="265" w:type="pct"/>
            <w:vAlign w:val="center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78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támogató rendszerek</w:t>
            </w:r>
          </w:p>
        </w:tc>
        <w:tc>
          <w:tcPr>
            <w:tcW w:w="700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  <w:tc>
          <w:tcPr>
            <w:tcW w:w="861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  <w:tc>
          <w:tcPr>
            <w:tcW w:w="1096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</w:tr>
      <w:tr w:rsidR="00186E8F" w:rsidRPr="00186E8F" w:rsidTr="00F13BC2">
        <w:tc>
          <w:tcPr>
            <w:tcW w:w="265" w:type="pct"/>
            <w:vAlign w:val="center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78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önkormányzati adattárház</w:t>
            </w:r>
          </w:p>
        </w:tc>
        <w:tc>
          <w:tcPr>
            <w:tcW w:w="700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  <w:tc>
          <w:tcPr>
            <w:tcW w:w="861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 (az adatbetöltő és adatfeldolgozási folyamatok működtetését is beleértve)</w:t>
            </w:r>
          </w:p>
        </w:tc>
        <w:tc>
          <w:tcPr>
            <w:tcW w:w="1096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</w:tr>
      <w:tr w:rsidR="00186E8F" w:rsidRPr="00186E8F" w:rsidTr="00F13BC2">
        <w:tc>
          <w:tcPr>
            <w:tcW w:w="265" w:type="pct"/>
            <w:vAlign w:val="center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78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keretrendszer</w:t>
            </w:r>
          </w:p>
        </w:tc>
        <w:tc>
          <w:tcPr>
            <w:tcW w:w="700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  <w:tc>
          <w:tcPr>
            <w:tcW w:w="861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  <w:tc>
          <w:tcPr>
            <w:tcW w:w="1096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</w:tr>
      <w:tr w:rsidR="00186E8F" w:rsidRPr="00186E8F" w:rsidTr="00F13BC2">
        <w:tc>
          <w:tcPr>
            <w:tcW w:w="265" w:type="pct"/>
            <w:vAlign w:val="center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78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hagyatéki leltár rendszer</w:t>
            </w:r>
          </w:p>
        </w:tc>
        <w:tc>
          <w:tcPr>
            <w:tcW w:w="700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  <w:tc>
          <w:tcPr>
            <w:tcW w:w="861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  <w:tc>
          <w:tcPr>
            <w:tcW w:w="1096" w:type="pct"/>
          </w:tcPr>
          <w:p w:rsidR="00186E8F" w:rsidRPr="00186E8F" w:rsidRDefault="00186E8F" w:rsidP="00186E8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86E8F">
              <w:rPr>
                <w:rFonts w:ascii="Times New Roman" w:hAnsi="Times New Roman" w:cs="Times New Roman"/>
              </w:rPr>
              <w:t>Kincstár</w:t>
            </w:r>
          </w:p>
        </w:tc>
      </w:tr>
    </w:tbl>
    <w:p w:rsidR="00186E8F" w:rsidRPr="00186E8F" w:rsidRDefault="00186E8F" w:rsidP="00186E8F">
      <w:pPr>
        <w:contextualSpacing/>
        <w:jc w:val="both"/>
        <w:rPr>
          <w:rFonts w:ascii="Times New Roman" w:hAnsi="Times New Roman" w:cs="Times New Roman"/>
        </w:rPr>
      </w:pPr>
    </w:p>
    <w:p w:rsidR="00186E8F" w:rsidRP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</w:rPr>
        <w:t>A központi szolgáltató által ellátott feladatokra vonatkozóan a közigazgatási informatika infrastrukturális megvalósíthatóságának biztosításáért felelős miniszter a központosított informatikai és elektronikus hírközlési szolgáltatásokról szóló 309/2011. (XII. 23.) Korm. rendelet 4. §-a alapján központi szolgáltatási megállapodást köt, a központi szolgáltató által ellátott feladatok finanszírozása e megállapodás keretein belül történik. Az egyes szolgáltatási szintek részletes tartalmát a központi szolgáltatási szerződés határozza meg.</w:t>
      </w:r>
    </w:p>
    <w:p w:rsidR="00186E8F" w:rsidRPr="00186E8F" w:rsidRDefault="00186E8F" w:rsidP="00864BE3">
      <w:pPr>
        <w:pStyle w:val="Nincstrkz"/>
      </w:pPr>
    </w:p>
    <w:p w:rsidR="00186E8F" w:rsidRP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</w:rPr>
        <w:t xml:space="preserve">A helyi önkormányzat az önkormányzati ASP rendszerhez </w:t>
      </w:r>
    </w:p>
    <w:p w:rsidR="00864BE3" w:rsidRDefault="00186E8F" w:rsidP="00186E8F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64BE3">
        <w:rPr>
          <w:rFonts w:ascii="Times New Roman" w:hAnsi="Times New Roman" w:cs="Times New Roman"/>
        </w:rPr>
        <w:t xml:space="preserve">a keretrendszer és a szakrendszerek igénybevételével (a továbbiakban: rendszercsatlakozás), </w:t>
      </w:r>
    </w:p>
    <w:p w:rsidR="00186E8F" w:rsidRPr="00864BE3" w:rsidRDefault="00186E8F" w:rsidP="00186E8F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864BE3">
        <w:rPr>
          <w:rFonts w:ascii="Times New Roman" w:hAnsi="Times New Roman" w:cs="Times New Roman"/>
        </w:rPr>
        <w:t>vagy – az önkormányzati ASP rendszer által támogatott feladatok önálló informatikai támogatása mellett – az önkormányzati adattárház számára meghatározott adatok átadását lehetővé tevő interfész kiépítésével (a továbbiakban: interfészes csatlakozás) csatlakozhat.</w:t>
      </w:r>
    </w:p>
    <w:p w:rsidR="00186E8F" w:rsidRP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86E8F" w:rsidRP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</w:rPr>
        <w:t xml:space="preserve">Rendszercsatlakozás esetén </w:t>
      </w:r>
    </w:p>
    <w:p w:rsidR="00186E8F" w:rsidRPr="00186E8F" w:rsidRDefault="00186E8F" w:rsidP="00186E8F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  <w:i/>
        </w:rPr>
        <w:t>a)</w:t>
      </w:r>
      <w:r w:rsidRPr="00186E8F">
        <w:rPr>
          <w:rFonts w:ascii="Times New Roman" w:hAnsi="Times New Roman" w:cs="Times New Roman"/>
        </w:rPr>
        <w:t xml:space="preserve"> </w:t>
      </w:r>
      <w:r w:rsidRPr="00186E8F">
        <w:rPr>
          <w:rFonts w:ascii="Times New Roman" w:hAnsi="Times New Roman" w:cs="Times New Roman"/>
          <w:iCs/>
        </w:rPr>
        <w:t>a</w:t>
      </w:r>
      <w:r w:rsidRPr="00186E8F">
        <w:rPr>
          <w:rFonts w:ascii="Times New Roman" w:hAnsi="Times New Roman" w:cs="Times New Roman"/>
        </w:rPr>
        <w:t xml:space="preserve"> keretrendszer és a szakrendszer által támogatott feladatainak informatikai támogatását a helyi önkormányzat a keretrendszer és a szakrendszer útján látja el,</w:t>
      </w:r>
    </w:p>
    <w:p w:rsidR="00186E8F" w:rsidRPr="00186E8F" w:rsidRDefault="00186E8F" w:rsidP="00186E8F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  <w:i/>
        </w:rPr>
        <w:t>b)</w:t>
      </w:r>
      <w:r w:rsidRPr="00186E8F">
        <w:rPr>
          <w:rFonts w:ascii="Times New Roman" w:hAnsi="Times New Roman" w:cs="Times New Roman"/>
        </w:rPr>
        <w:t xml:space="preserve"> a közös önkormányzati hivatalhoz tartozó minden helyi önkormányzat esetében a szakrendszerek használatának önkormányzatonkénti elkülönítését biztosítani kell,</w:t>
      </w:r>
    </w:p>
    <w:p w:rsidR="00186E8F" w:rsidRPr="00186E8F" w:rsidRDefault="00186E8F" w:rsidP="00186E8F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  <w:i/>
        </w:rPr>
        <w:t>c)</w:t>
      </w:r>
      <w:r w:rsidRPr="00186E8F">
        <w:rPr>
          <w:rFonts w:ascii="Times New Roman" w:hAnsi="Times New Roman" w:cs="Times New Roman"/>
        </w:rPr>
        <w:t xml:space="preserve"> az általa használt szakrendszerekben tárolt adatok adatfelelőse a helyi önkormányzat.</w:t>
      </w:r>
    </w:p>
    <w:p w:rsidR="00864BE3" w:rsidRDefault="00864BE3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86E8F" w:rsidRP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</w:rPr>
        <w:t>Interfészes csatlakozás esetén</w:t>
      </w:r>
    </w:p>
    <w:p w:rsidR="00186E8F" w:rsidRPr="00186E8F" w:rsidRDefault="00186E8F" w:rsidP="00186E8F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</w:rPr>
        <w:t>az interfész kiépítéséhez szükséges fejlesztésekről a helyi önkormányzat saját erőből gondoskodik a Kincstár által meghatározott informatikai specifikációk alapján,</w:t>
      </w:r>
    </w:p>
    <w:p w:rsidR="00186E8F" w:rsidRPr="00186E8F" w:rsidRDefault="00186E8F" w:rsidP="00186E8F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</w:rPr>
        <w:t>az interfész technológiai megfelelőségét a csatlakozás előtt az e-közigazgatásért felelős miniszter ellenőrzi.</w:t>
      </w:r>
    </w:p>
    <w:p w:rsidR="00186E8F" w:rsidRP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:rsidR="00186E8F" w:rsidRP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186E8F">
        <w:rPr>
          <w:rFonts w:ascii="Times New Roman" w:hAnsi="Times New Roman" w:cs="Times New Roman"/>
          <w:i/>
        </w:rPr>
        <w:t xml:space="preserve">A szolgáltatási szerződés </w:t>
      </w:r>
    </w:p>
    <w:p w:rsidR="00186E8F" w:rsidRP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</w:rPr>
        <w:t>Csatlakozását megelőzően a helyi önkorm</w:t>
      </w:r>
      <w:r>
        <w:rPr>
          <w:rFonts w:ascii="Times New Roman" w:hAnsi="Times New Roman" w:cs="Times New Roman"/>
        </w:rPr>
        <w:t>ányzat szolgáltatási szerződést</w:t>
      </w:r>
      <w:r w:rsidRPr="00186E8F">
        <w:rPr>
          <w:rFonts w:ascii="Times New Roman" w:hAnsi="Times New Roman" w:cs="Times New Roman"/>
        </w:rPr>
        <w:t xml:space="preserve"> köt a Kincstárral. </w:t>
      </w:r>
    </w:p>
    <w:p w:rsidR="00186E8F" w:rsidRP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86E8F" w:rsidRP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</w:rPr>
        <w:t>A szerződésben a helyi önkormányzat vállalja, hogy</w:t>
      </w:r>
    </w:p>
    <w:p w:rsidR="00186E8F" w:rsidRPr="00186E8F" w:rsidRDefault="00186E8F" w:rsidP="00186E8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</w:rPr>
        <w:t>– interfészes csatlakozás esetén – az interfész kiépítéséről gondoskodik,</w:t>
      </w:r>
    </w:p>
    <w:p w:rsidR="00186E8F" w:rsidRPr="00186E8F" w:rsidRDefault="00186E8F" w:rsidP="00186E8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</w:rPr>
        <w:t xml:space="preserve">– rendszercsatlakozás esetén – a szerződés megkötésétől legkésőbb az első szakrendszerhez való csatlakozás időpontjáig tartó felkészülési idő alatt biztosítja az önkormányzati ASP rendszerhez történő csatlakozáshoz szükséges technikai minimumkövetelményeknek való megfelelést, </w:t>
      </w:r>
    </w:p>
    <w:p w:rsidR="00186E8F" w:rsidRPr="00186E8F" w:rsidRDefault="00186E8F" w:rsidP="00186E8F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</w:rPr>
        <w:t>– a Kincstár útján, a helyi adókról szóló 1990. évi C. törvény (a továbbiakban: Htv.) 44. § (2) bekezdésével érintett helyi önkormányzatok esetében a Kincstár közreműködésével – gondoskodik az önkormányzati adó rendszer esetében a csatlakozási időpontot megelőző, el nem évült adókötelezettségre vonatkozó adatállomány migrálásáról.</w:t>
      </w:r>
    </w:p>
    <w:p w:rsid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86E8F" w:rsidRP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</w:rPr>
        <w:t>A szerződésben a Kincstár vállalja, hogy a helyi önkormányzatoknak a szakrendszerekben, valamint az önkormányzati adattárházban tárolt adatainak biztonságát technológiai és adminisztratív eszközökkel biztosítja és garantálja, hogy azokat csak a törvényben, vagy az e kormányrendeletben meghatározott szerveknek teszi hozzáférhetővé.</w:t>
      </w:r>
    </w:p>
    <w:p w:rsidR="00186E8F" w:rsidRP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86E8F">
        <w:rPr>
          <w:rFonts w:ascii="Times New Roman" w:hAnsi="Times New Roman" w:cs="Times New Roman"/>
        </w:rPr>
        <w:t>Az önkormányzati ASP rendszer szolgáltatásainak igénybevétele a helyi önkormányzat számára térítésmentes.</w:t>
      </w:r>
    </w:p>
    <w:p w:rsidR="00186E8F" w:rsidRPr="00186E8F" w:rsidRDefault="00186E8F" w:rsidP="00186E8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186E8F" w:rsidRPr="00186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B2A" w:rsidRDefault="00653B2A" w:rsidP="00864BE3">
      <w:pPr>
        <w:spacing w:after="0" w:line="240" w:lineRule="auto"/>
      </w:pPr>
      <w:r>
        <w:separator/>
      </w:r>
    </w:p>
  </w:endnote>
  <w:endnote w:type="continuationSeparator" w:id="0">
    <w:p w:rsidR="00653B2A" w:rsidRDefault="00653B2A" w:rsidP="0086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B2A" w:rsidRDefault="00653B2A" w:rsidP="00864BE3">
      <w:pPr>
        <w:spacing w:after="0" w:line="240" w:lineRule="auto"/>
      </w:pPr>
      <w:r>
        <w:separator/>
      </w:r>
    </w:p>
  </w:footnote>
  <w:footnote w:type="continuationSeparator" w:id="0">
    <w:p w:rsidR="00653B2A" w:rsidRDefault="00653B2A" w:rsidP="00864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7A0"/>
    <w:multiLevelType w:val="hybridMultilevel"/>
    <w:tmpl w:val="07F224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36F58"/>
    <w:multiLevelType w:val="hybridMultilevel"/>
    <w:tmpl w:val="BE7408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C0D75"/>
    <w:multiLevelType w:val="hybridMultilevel"/>
    <w:tmpl w:val="00B2F0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32833"/>
    <w:multiLevelType w:val="hybridMultilevel"/>
    <w:tmpl w:val="C6BC8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2196D"/>
    <w:multiLevelType w:val="hybridMultilevel"/>
    <w:tmpl w:val="1A9E865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8F"/>
    <w:rsid w:val="00186E8F"/>
    <w:rsid w:val="00653B2A"/>
    <w:rsid w:val="008366AF"/>
    <w:rsid w:val="0086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6CFC5-4E44-49C7-A7A9-5ED2AB26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aliases w:val="Szegély nélküli"/>
    <w:basedOn w:val="Normltblzat"/>
    <w:uiPriority w:val="59"/>
    <w:rsid w:val="00186E8F"/>
    <w:pPr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64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4BE3"/>
  </w:style>
  <w:style w:type="paragraph" w:styleId="Nincstrkz">
    <w:name w:val="No Spacing"/>
    <w:uiPriority w:val="1"/>
    <w:qFormat/>
    <w:rsid w:val="00864B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Marcsi</dc:creator>
  <cp:keywords/>
  <dc:description/>
  <cp:lastModifiedBy>Marcsi</cp:lastModifiedBy>
  <cp:revision>2</cp:revision>
  <dcterms:created xsi:type="dcterms:W3CDTF">2016-12-19T22:45:00Z</dcterms:created>
  <dcterms:modified xsi:type="dcterms:W3CDTF">2016-12-20T22:36:00Z</dcterms:modified>
</cp:coreProperties>
</file>